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D1B240" w14:textId="19A36DF8" w:rsidR="00524EC7" w:rsidRPr="002A6BF2" w:rsidRDefault="00524EC7" w:rsidP="00B84A00">
      <w:pPr>
        <w:pStyle w:val="berschrift1"/>
        <w:spacing w:line="276" w:lineRule="auto"/>
        <w:jc w:val="both"/>
        <w:rPr>
          <w:lang w:val="en-US"/>
        </w:rPr>
      </w:pPr>
      <w:bookmarkStart w:id="0" w:name="_GoBack"/>
      <w:bookmarkEnd w:id="0"/>
      <w:r w:rsidRPr="002A6BF2">
        <w:rPr>
          <w:lang w:val="en-US"/>
        </w:rPr>
        <w:t xml:space="preserve">A </w:t>
      </w:r>
      <w:r w:rsidRPr="002A6BF2">
        <w:rPr>
          <w:i/>
          <w:lang w:val="en-US"/>
        </w:rPr>
        <w:t>Pseudomonas</w:t>
      </w:r>
      <w:r w:rsidR="006E7CC6" w:rsidRPr="002A6BF2">
        <w:rPr>
          <w:i/>
          <w:lang w:val="en-US"/>
        </w:rPr>
        <w:t xml:space="preserve"> taiwanensis</w:t>
      </w:r>
      <w:r w:rsidRPr="002A6BF2">
        <w:rPr>
          <w:lang w:val="en-US"/>
        </w:rPr>
        <w:t xml:space="preserve"> </w:t>
      </w:r>
      <w:r w:rsidR="00905C4A">
        <w:rPr>
          <w:lang w:val="en-US"/>
        </w:rPr>
        <w:t>m</w:t>
      </w:r>
      <w:r w:rsidRPr="002A6BF2">
        <w:rPr>
          <w:lang w:val="en-US"/>
        </w:rPr>
        <w:t xml:space="preserve">alonyl-CoA </w:t>
      </w:r>
      <w:r w:rsidR="00905C4A">
        <w:rPr>
          <w:lang w:val="en-US"/>
        </w:rPr>
        <w:t>p</w:t>
      </w:r>
      <w:r w:rsidRPr="002A6BF2">
        <w:rPr>
          <w:lang w:val="en-US"/>
        </w:rPr>
        <w:t xml:space="preserve">latform </w:t>
      </w:r>
      <w:r w:rsidR="00905C4A">
        <w:rPr>
          <w:lang w:val="en-US"/>
        </w:rPr>
        <w:t>s</w:t>
      </w:r>
      <w:r w:rsidRPr="002A6BF2">
        <w:rPr>
          <w:lang w:val="en-US"/>
        </w:rPr>
        <w:t xml:space="preserve">train for </w:t>
      </w:r>
      <w:r w:rsidR="00905C4A">
        <w:rPr>
          <w:lang w:val="en-US"/>
        </w:rPr>
        <w:t>p</w:t>
      </w:r>
      <w:r w:rsidR="00DB57BD" w:rsidRPr="002A6BF2">
        <w:rPr>
          <w:lang w:val="en-US"/>
        </w:rPr>
        <w:t xml:space="preserve">olyketide </w:t>
      </w:r>
      <w:r w:rsidR="00905C4A">
        <w:rPr>
          <w:lang w:val="en-US"/>
        </w:rPr>
        <w:t>s</w:t>
      </w:r>
      <w:r w:rsidR="00DB57BD" w:rsidRPr="002A6BF2">
        <w:rPr>
          <w:lang w:val="en-US"/>
        </w:rPr>
        <w:t>ynthesis</w:t>
      </w:r>
    </w:p>
    <w:p w14:paraId="4D130B8A" w14:textId="77777777" w:rsidR="0003268F" w:rsidRPr="002A6BF2" w:rsidRDefault="0003268F" w:rsidP="00B84A00">
      <w:pPr>
        <w:spacing w:line="276" w:lineRule="auto"/>
        <w:jc w:val="both"/>
        <w:rPr>
          <w:lang w:val="en-US"/>
        </w:rPr>
      </w:pPr>
    </w:p>
    <w:p w14:paraId="6DC3BF23" w14:textId="55E5B5BD" w:rsidR="00B6648E" w:rsidRPr="002A6BF2" w:rsidRDefault="00B6648E" w:rsidP="00B84A00">
      <w:pPr>
        <w:spacing w:line="276" w:lineRule="auto"/>
        <w:jc w:val="both"/>
        <w:rPr>
          <w:rFonts w:cs="Arial"/>
          <w:lang w:val="en-US"/>
        </w:rPr>
      </w:pPr>
      <w:r w:rsidRPr="002A6BF2">
        <w:rPr>
          <w:rFonts w:cs="Arial"/>
          <w:lang w:val="en-US"/>
        </w:rPr>
        <w:t>Tobias Schwanemann</w:t>
      </w:r>
      <w:r w:rsidR="007469E4" w:rsidRPr="002A6BF2">
        <w:rPr>
          <w:rFonts w:cs="Arial"/>
          <w:vertAlign w:val="superscript"/>
          <w:lang w:val="en-US"/>
        </w:rPr>
        <w:t>a</w:t>
      </w:r>
      <w:r w:rsidR="001A5F60" w:rsidRPr="002A6BF2">
        <w:rPr>
          <w:rFonts w:cs="Arial"/>
          <w:lang w:val="en-US"/>
        </w:rPr>
        <w:t xml:space="preserve">, </w:t>
      </w:r>
      <w:r w:rsidRPr="002A6BF2">
        <w:rPr>
          <w:rFonts w:cs="Arial"/>
          <w:lang w:val="en-US"/>
        </w:rPr>
        <w:t>Maike Otto</w:t>
      </w:r>
      <w:r w:rsidR="007469E4" w:rsidRPr="002A6BF2">
        <w:rPr>
          <w:rFonts w:cs="Arial"/>
          <w:vertAlign w:val="superscript"/>
          <w:lang w:val="en-US"/>
        </w:rPr>
        <w:t>a</w:t>
      </w:r>
      <w:r w:rsidR="001A5F60" w:rsidRPr="002A6BF2">
        <w:rPr>
          <w:rFonts w:cs="Arial"/>
          <w:lang w:val="en-US"/>
        </w:rPr>
        <w:t xml:space="preserve">, </w:t>
      </w:r>
      <w:r w:rsidR="00BE70D9" w:rsidRPr="002A6BF2">
        <w:rPr>
          <w:rFonts w:cs="Arial"/>
          <w:lang w:val="en-US"/>
        </w:rPr>
        <w:t>Benedikt Wynands</w:t>
      </w:r>
      <w:r w:rsidR="007469E4" w:rsidRPr="002A6BF2">
        <w:rPr>
          <w:rFonts w:cs="Arial"/>
          <w:vertAlign w:val="superscript"/>
          <w:lang w:val="en-US"/>
        </w:rPr>
        <w:t>a</w:t>
      </w:r>
      <w:r w:rsidR="00BE70D9" w:rsidRPr="002A6BF2">
        <w:rPr>
          <w:rFonts w:cs="Arial"/>
          <w:lang w:val="en-US"/>
        </w:rPr>
        <w:t xml:space="preserve">, </w:t>
      </w:r>
      <w:r w:rsidR="004B5817" w:rsidRPr="002A6BF2">
        <w:rPr>
          <w:rFonts w:cs="Arial"/>
          <w:lang w:val="en-US"/>
        </w:rPr>
        <w:t>Jan Marienhagen</w:t>
      </w:r>
      <w:r w:rsidR="007469E4" w:rsidRPr="002A6BF2">
        <w:rPr>
          <w:rFonts w:cs="Arial"/>
          <w:vertAlign w:val="superscript"/>
          <w:lang w:val="en-US"/>
        </w:rPr>
        <w:t>a</w:t>
      </w:r>
      <w:r w:rsidR="005B621E" w:rsidRPr="002A6BF2">
        <w:rPr>
          <w:rFonts w:cs="Arial"/>
          <w:vertAlign w:val="superscript"/>
          <w:lang w:val="en-US"/>
        </w:rPr>
        <w:t>,</w:t>
      </w:r>
      <w:r w:rsidR="007469E4" w:rsidRPr="002A6BF2">
        <w:rPr>
          <w:rFonts w:cs="Arial"/>
          <w:vertAlign w:val="superscript"/>
          <w:lang w:val="en-US"/>
        </w:rPr>
        <w:t>b</w:t>
      </w:r>
      <w:r w:rsidR="001A5F60" w:rsidRPr="002A6BF2">
        <w:rPr>
          <w:rFonts w:cs="Arial"/>
          <w:lang w:val="en-US"/>
        </w:rPr>
        <w:t xml:space="preserve"> and </w:t>
      </w:r>
      <w:r w:rsidRPr="002A6BF2">
        <w:rPr>
          <w:rFonts w:cs="Arial"/>
          <w:lang w:val="en-US"/>
        </w:rPr>
        <w:t>Nick Wierckx</w:t>
      </w:r>
      <w:r w:rsidR="007469E4" w:rsidRPr="002A6BF2">
        <w:rPr>
          <w:rFonts w:cs="Arial"/>
          <w:vertAlign w:val="superscript"/>
          <w:lang w:val="en-US"/>
        </w:rPr>
        <w:t>a</w:t>
      </w:r>
      <w:r w:rsidR="001A5F60" w:rsidRPr="002A6BF2">
        <w:rPr>
          <w:rFonts w:ascii="Cambria" w:hAnsi="Cambria"/>
          <w:vertAlign w:val="superscript"/>
          <w:lang w:val="en-US"/>
        </w:rPr>
        <w:t>‡</w:t>
      </w:r>
    </w:p>
    <w:p w14:paraId="09888FB7" w14:textId="5ED49969" w:rsidR="00B6648E" w:rsidRPr="002A6BF2" w:rsidRDefault="007469E4" w:rsidP="00B84A00">
      <w:pPr>
        <w:spacing w:line="276" w:lineRule="auto"/>
        <w:jc w:val="both"/>
        <w:rPr>
          <w:rFonts w:cs="Arial"/>
          <w:sz w:val="18"/>
          <w:lang w:val="en-US"/>
        </w:rPr>
      </w:pPr>
      <w:r w:rsidRPr="002A6BF2">
        <w:rPr>
          <w:rFonts w:cs="Arial"/>
          <w:sz w:val="18"/>
          <w:vertAlign w:val="superscript"/>
          <w:lang w:val="en-US"/>
        </w:rPr>
        <w:t>a</w:t>
      </w:r>
      <w:r w:rsidRPr="002A6BF2">
        <w:rPr>
          <w:rFonts w:cs="Arial"/>
          <w:sz w:val="18"/>
          <w:lang w:val="en-US"/>
        </w:rPr>
        <w:t xml:space="preserve"> </w:t>
      </w:r>
      <w:r w:rsidR="00B6648E" w:rsidRPr="002A6BF2">
        <w:rPr>
          <w:rFonts w:cs="Arial"/>
          <w:sz w:val="18"/>
          <w:lang w:val="en-US"/>
        </w:rPr>
        <w:t>Institute of Bio- and Geosciences, IBG-1: Biotechnology, Forschungszentrum Jülich GmbH, 52425 Jülich, Germany</w:t>
      </w:r>
    </w:p>
    <w:p w14:paraId="7B2BEB85" w14:textId="6EF25A5E" w:rsidR="005B621E" w:rsidRPr="002A6BF2" w:rsidRDefault="007469E4" w:rsidP="00B84A00">
      <w:pPr>
        <w:spacing w:line="276" w:lineRule="auto"/>
        <w:jc w:val="both"/>
        <w:rPr>
          <w:rFonts w:cs="Arial"/>
          <w:sz w:val="18"/>
          <w:lang w:val="en-US"/>
        </w:rPr>
      </w:pPr>
      <w:r w:rsidRPr="002A6BF2">
        <w:rPr>
          <w:rFonts w:cs="Arial"/>
          <w:sz w:val="18"/>
          <w:vertAlign w:val="superscript"/>
          <w:lang w:val="en-US"/>
        </w:rPr>
        <w:t>b</w:t>
      </w:r>
      <w:r w:rsidRPr="002A6BF2">
        <w:rPr>
          <w:rFonts w:cs="Arial"/>
          <w:sz w:val="18"/>
          <w:lang w:val="en-US"/>
        </w:rPr>
        <w:t xml:space="preserve"> </w:t>
      </w:r>
      <w:r w:rsidR="005B621E" w:rsidRPr="002A6BF2">
        <w:rPr>
          <w:rFonts w:cs="Arial"/>
          <w:sz w:val="18"/>
          <w:lang w:val="en-US"/>
        </w:rPr>
        <w:t>Institute of Biotechnology, RWTH Aachen University, Worringer Weg 3, D-52074 Aachen, Germany</w:t>
      </w:r>
    </w:p>
    <w:p w14:paraId="56FE0578" w14:textId="77777777" w:rsidR="00B6648E" w:rsidRPr="002A6BF2" w:rsidRDefault="00B6648E" w:rsidP="00B84A00">
      <w:pPr>
        <w:spacing w:line="276" w:lineRule="auto"/>
        <w:jc w:val="both"/>
        <w:rPr>
          <w:rFonts w:cs="Arial"/>
          <w:lang w:val="en-US"/>
        </w:rPr>
      </w:pPr>
    </w:p>
    <w:p w14:paraId="6A24A9F4" w14:textId="77777777" w:rsidR="001A5F60" w:rsidRPr="002A6BF2" w:rsidRDefault="001A5F60" w:rsidP="00B84A00">
      <w:pPr>
        <w:spacing w:line="276" w:lineRule="auto"/>
        <w:jc w:val="both"/>
        <w:rPr>
          <w:rFonts w:cs="Arial"/>
          <w:lang w:val="en-US"/>
        </w:rPr>
      </w:pPr>
      <w:r w:rsidRPr="002A6BF2">
        <w:rPr>
          <w:rFonts w:ascii="Cambria" w:hAnsi="Cambria"/>
          <w:vertAlign w:val="superscript"/>
          <w:lang w:val="en-US"/>
        </w:rPr>
        <w:t>‡</w:t>
      </w:r>
      <w:r w:rsidRPr="002A6BF2">
        <w:rPr>
          <w:rFonts w:ascii="Cambria" w:hAnsi="Cambria"/>
          <w:lang w:val="en-US"/>
        </w:rPr>
        <w:t xml:space="preserve"> </w:t>
      </w:r>
      <w:r w:rsidRPr="002A6BF2">
        <w:rPr>
          <w:rFonts w:cs="Arial"/>
          <w:lang w:val="en-US"/>
        </w:rPr>
        <w:t>c</w:t>
      </w:r>
      <w:r w:rsidR="00B6648E" w:rsidRPr="002A6BF2">
        <w:rPr>
          <w:rFonts w:cs="Arial"/>
          <w:lang w:val="en-US"/>
        </w:rPr>
        <w:t>orrespond</w:t>
      </w:r>
      <w:r w:rsidRPr="002A6BF2">
        <w:rPr>
          <w:rFonts w:cs="Arial"/>
          <w:lang w:val="en-US"/>
        </w:rPr>
        <w:t>ing</w:t>
      </w:r>
      <w:r w:rsidRPr="002A6BF2">
        <w:rPr>
          <w:rFonts w:cs="Arial"/>
          <w:b/>
          <w:lang w:val="en-US"/>
        </w:rPr>
        <w:t xml:space="preserve"> </w:t>
      </w:r>
      <w:r w:rsidRPr="002A6BF2">
        <w:rPr>
          <w:rFonts w:cs="Arial"/>
          <w:lang w:val="en-US"/>
        </w:rPr>
        <w:t>author</w:t>
      </w:r>
      <w:r w:rsidR="00B6648E" w:rsidRPr="002A6BF2">
        <w:rPr>
          <w:rFonts w:cs="Arial"/>
          <w:b/>
          <w:lang w:val="en-US"/>
        </w:rPr>
        <w:t>:</w:t>
      </w:r>
      <w:r w:rsidR="00B6648E" w:rsidRPr="002A6BF2">
        <w:rPr>
          <w:rFonts w:cs="Arial"/>
          <w:lang w:val="en-US"/>
        </w:rPr>
        <w:t xml:space="preserve"> </w:t>
      </w:r>
    </w:p>
    <w:p w14:paraId="1B98DBEC" w14:textId="22DC0994" w:rsidR="00B6648E" w:rsidRPr="00310E46" w:rsidRDefault="00B6648E" w:rsidP="00B84A00">
      <w:pPr>
        <w:spacing w:line="276" w:lineRule="auto"/>
        <w:jc w:val="both"/>
        <w:rPr>
          <w:rFonts w:cs="Arial"/>
        </w:rPr>
      </w:pPr>
      <w:r w:rsidRPr="00310E46">
        <w:rPr>
          <w:rFonts w:cs="Arial"/>
        </w:rPr>
        <w:t>Nick Wierckx, Institute of Bio- and Geosciences, IBG-1: Biotechnology, Forschungszentrum Jülich, Wilhelm-Johnen-Straße, 52425 Jülich, Germany.</w:t>
      </w:r>
      <w:r w:rsidR="001A5F60" w:rsidRPr="00310E46">
        <w:rPr>
          <w:rFonts w:cs="Arial"/>
        </w:rPr>
        <w:t xml:space="preserve"> e</w:t>
      </w:r>
      <w:r w:rsidRPr="00310E46">
        <w:rPr>
          <w:rFonts w:cs="Arial"/>
        </w:rPr>
        <w:t xml:space="preserve">-mail: </w:t>
      </w:r>
      <w:r w:rsidR="008B25D4" w:rsidRPr="00310E46">
        <w:t>n.wierckx@fz-juelich.de</w:t>
      </w:r>
    </w:p>
    <w:p w14:paraId="4A8C0F75" w14:textId="4E9B796D" w:rsidR="00423F32" w:rsidRDefault="00423F32" w:rsidP="00B84A00">
      <w:pPr>
        <w:spacing w:line="276" w:lineRule="auto"/>
        <w:rPr>
          <w:rFonts w:cs="Arial"/>
        </w:rPr>
      </w:pPr>
    </w:p>
    <w:p w14:paraId="3D8E3752" w14:textId="552EE8B3" w:rsidR="00905C4A" w:rsidRPr="00905C4A" w:rsidRDefault="00905C4A" w:rsidP="00B84A00">
      <w:pPr>
        <w:spacing w:line="276" w:lineRule="auto"/>
        <w:jc w:val="both"/>
        <w:rPr>
          <w:rFonts w:cs="Arial"/>
          <w:lang w:val="en-US"/>
        </w:rPr>
      </w:pPr>
      <w:r w:rsidRPr="00905C4A">
        <w:rPr>
          <w:rFonts w:cs="Arial"/>
          <w:lang w:val="en-US"/>
        </w:rPr>
        <w:t>This is the author copy version of the following article: Tobias Schwanemann, Maike Otto, Benedikt Wynands, Jan Marienhagen and Nick Wierckx (202</w:t>
      </w:r>
      <w:r>
        <w:rPr>
          <w:rFonts w:cs="Arial"/>
          <w:lang w:val="en-US"/>
        </w:rPr>
        <w:t>3</w:t>
      </w:r>
      <w:r w:rsidRPr="00905C4A">
        <w:rPr>
          <w:rFonts w:cs="Arial"/>
          <w:lang w:val="en-US"/>
        </w:rPr>
        <w:t xml:space="preserve">) “A </w:t>
      </w:r>
      <w:r w:rsidRPr="00905C4A">
        <w:rPr>
          <w:rFonts w:cs="Arial"/>
          <w:i/>
          <w:lang w:val="en-US"/>
        </w:rPr>
        <w:t>Pseudomonas taiwanensis</w:t>
      </w:r>
      <w:r w:rsidRPr="00905C4A">
        <w:rPr>
          <w:rFonts w:cs="Arial"/>
          <w:lang w:val="en-US"/>
        </w:rPr>
        <w:t xml:space="preserve"> Malonyl-CoA platform strain for polyketide synthesis” in </w:t>
      </w:r>
      <w:r>
        <w:rPr>
          <w:rFonts w:cs="Arial"/>
          <w:lang w:val="en-US"/>
        </w:rPr>
        <w:t>ELSEVIER</w:t>
      </w:r>
      <w:r w:rsidRPr="00905C4A">
        <w:rPr>
          <w:rFonts w:cs="Arial"/>
          <w:lang w:val="en-US"/>
        </w:rPr>
        <w:t xml:space="preserve"> in </w:t>
      </w:r>
      <w:r>
        <w:rPr>
          <w:rFonts w:cs="Arial"/>
          <w:lang w:val="en-US"/>
        </w:rPr>
        <w:t>Metabolic Engineering</w:t>
      </w:r>
      <w:r w:rsidRPr="00905C4A">
        <w:rPr>
          <w:rFonts w:cs="Arial"/>
          <w:lang w:val="en-US"/>
        </w:rPr>
        <w:t>, DOI:</w:t>
      </w:r>
      <w:r w:rsidRPr="00905C4A">
        <w:rPr>
          <w:lang w:val="en-US"/>
        </w:rPr>
        <w:t xml:space="preserve"> </w:t>
      </w:r>
      <w:r w:rsidRPr="00905C4A">
        <w:rPr>
          <w:rFonts w:cs="Arial"/>
          <w:lang w:val="en-US"/>
        </w:rPr>
        <w:t>10.1016/j.ymben.2023.04.001, which has been published in final form at</w:t>
      </w:r>
      <w:r w:rsidRPr="00905C4A">
        <w:rPr>
          <w:lang w:val="en-US"/>
        </w:rPr>
        <w:t xml:space="preserve"> </w:t>
      </w:r>
      <w:r w:rsidRPr="00905C4A">
        <w:rPr>
          <w:rFonts w:cs="Arial"/>
          <w:lang w:val="en-US"/>
        </w:rPr>
        <w:t xml:space="preserve">https://doi.org/10.1016/j.ymben.2023.04.001. This article may be used for non-commercial purposes in accordance with </w:t>
      </w:r>
      <w:r>
        <w:rPr>
          <w:rFonts w:cs="Arial"/>
          <w:lang w:val="en-US"/>
        </w:rPr>
        <w:t>ELSEVIER</w:t>
      </w:r>
      <w:r w:rsidRPr="00905C4A">
        <w:rPr>
          <w:rFonts w:cs="Arial"/>
          <w:lang w:val="en-US"/>
        </w:rPr>
        <w:t xml:space="preserve"> Terms and Conditions for Use of Self-Archived Versions.</w:t>
      </w:r>
    </w:p>
    <w:p w14:paraId="562C5D60" w14:textId="2B9A8F94" w:rsidR="00423F32" w:rsidRPr="00905C4A" w:rsidRDefault="007855DD" w:rsidP="00B84A00">
      <w:pPr>
        <w:spacing w:line="276" w:lineRule="auto"/>
        <w:rPr>
          <w:rFonts w:cs="Arial"/>
          <w:lang w:val="en-US"/>
        </w:rPr>
      </w:pPr>
      <w:r>
        <w:rPr>
          <w:rFonts w:cs="Arial"/>
          <w:noProof/>
          <w:lang w:eastAsia="de-DE"/>
        </w:rPr>
        <w:lastRenderedPageBreak/>
        <w:drawing>
          <wp:inline distT="0" distB="0" distL="0" distR="0" wp14:anchorId="6FB26324" wp14:editId="5E7A5057">
            <wp:extent cx="5724142" cy="284607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7064" cy="2852495"/>
                    </a:xfrm>
                    <a:prstGeom prst="rect">
                      <a:avLst/>
                    </a:prstGeom>
                    <a:noFill/>
                  </pic:spPr>
                </pic:pic>
              </a:graphicData>
            </a:graphic>
          </wp:inline>
        </w:drawing>
      </w:r>
    </w:p>
    <w:p w14:paraId="2C1E62AA" w14:textId="448C51D6" w:rsidR="00B6648E" w:rsidRPr="00905C4A" w:rsidRDefault="00B6648E" w:rsidP="00B84A00">
      <w:pPr>
        <w:spacing w:line="276" w:lineRule="auto"/>
        <w:rPr>
          <w:rFonts w:cs="Arial"/>
          <w:lang w:val="en-US"/>
        </w:rPr>
      </w:pPr>
      <w:r w:rsidRPr="00905C4A">
        <w:rPr>
          <w:rFonts w:cs="Arial"/>
          <w:lang w:val="en-US"/>
        </w:rPr>
        <w:br w:type="page"/>
      </w:r>
    </w:p>
    <w:p w14:paraId="24BBD65F" w14:textId="77777777" w:rsidR="00D938AC" w:rsidRPr="002A6BF2" w:rsidRDefault="00D938AC" w:rsidP="00B84A00">
      <w:pPr>
        <w:pStyle w:val="berschrift1"/>
        <w:spacing w:line="276" w:lineRule="auto"/>
        <w:rPr>
          <w:lang w:val="en-US"/>
        </w:rPr>
      </w:pPr>
      <w:r w:rsidRPr="002A6BF2">
        <w:rPr>
          <w:lang w:val="en-US"/>
        </w:rPr>
        <w:lastRenderedPageBreak/>
        <w:t>Abstract:</w:t>
      </w:r>
    </w:p>
    <w:p w14:paraId="69CF759E" w14:textId="247A1C28" w:rsidR="002B545F" w:rsidRPr="002A6BF2" w:rsidRDefault="002B545F" w:rsidP="00B84A00">
      <w:pPr>
        <w:spacing w:line="276" w:lineRule="auto"/>
        <w:jc w:val="both"/>
        <w:rPr>
          <w:lang w:val="en-US"/>
        </w:rPr>
      </w:pPr>
      <w:r w:rsidRPr="002A6BF2">
        <w:rPr>
          <w:lang w:val="en-US"/>
        </w:rPr>
        <w:t xml:space="preserve">Malonyl-CoA is a </w:t>
      </w:r>
      <w:r w:rsidR="006C5530" w:rsidRPr="002A6BF2">
        <w:rPr>
          <w:lang w:val="en-US"/>
        </w:rPr>
        <w:t xml:space="preserve">central </w:t>
      </w:r>
      <w:r w:rsidRPr="002A6BF2">
        <w:rPr>
          <w:lang w:val="en-US"/>
        </w:rPr>
        <w:t>precursor for biosynthesis of</w:t>
      </w:r>
      <w:r w:rsidR="001B5A55" w:rsidRPr="002A6BF2">
        <w:rPr>
          <w:lang w:val="en-US"/>
        </w:rPr>
        <w:t xml:space="preserve"> a wide range of</w:t>
      </w:r>
      <w:r w:rsidRPr="002A6BF2">
        <w:rPr>
          <w:lang w:val="en-US"/>
        </w:rPr>
        <w:t xml:space="preserve"> complex secondary </w:t>
      </w:r>
      <w:r w:rsidR="001B5A55" w:rsidRPr="002A6BF2">
        <w:rPr>
          <w:lang w:val="en-US"/>
        </w:rPr>
        <w:t>metabolites</w:t>
      </w:r>
      <w:r w:rsidR="00591CA5" w:rsidRPr="002A6BF2">
        <w:rPr>
          <w:lang w:val="en-US"/>
        </w:rPr>
        <w:t>,</w:t>
      </w:r>
      <w:r w:rsidR="001B5A55" w:rsidRPr="002A6BF2">
        <w:rPr>
          <w:lang w:val="en-US"/>
        </w:rPr>
        <w:t xml:space="preserve"> </w:t>
      </w:r>
      <w:r w:rsidRPr="002A6BF2">
        <w:rPr>
          <w:lang w:val="en-US"/>
        </w:rPr>
        <w:t>in native fatty acid biosynthesis</w:t>
      </w:r>
      <w:r w:rsidR="00156B95" w:rsidRPr="002A6BF2">
        <w:rPr>
          <w:lang w:val="en-US"/>
        </w:rPr>
        <w:t xml:space="preserve"> </w:t>
      </w:r>
      <w:r w:rsidRPr="002A6BF2">
        <w:rPr>
          <w:lang w:val="en-US"/>
        </w:rPr>
        <w:t>and</w:t>
      </w:r>
      <w:r w:rsidR="006B2CC2" w:rsidRPr="002A6BF2">
        <w:rPr>
          <w:lang w:val="en-US"/>
        </w:rPr>
        <w:t xml:space="preserve"> thus of</w:t>
      </w:r>
      <w:r w:rsidRPr="002A6BF2">
        <w:rPr>
          <w:lang w:val="en-US"/>
        </w:rPr>
        <w:t xml:space="preserve"> </w:t>
      </w:r>
      <w:r w:rsidR="00E13A97" w:rsidRPr="002A6BF2">
        <w:rPr>
          <w:lang w:val="en-US"/>
        </w:rPr>
        <w:t xml:space="preserve">its </w:t>
      </w:r>
      <w:r w:rsidRPr="002A6BF2">
        <w:rPr>
          <w:lang w:val="en-US"/>
        </w:rPr>
        <w:t xml:space="preserve">products. </w:t>
      </w:r>
      <w:r w:rsidR="00EA2280" w:rsidRPr="002A6BF2">
        <w:rPr>
          <w:lang w:val="en-US"/>
        </w:rPr>
        <w:t xml:space="preserve">The </w:t>
      </w:r>
      <w:r w:rsidRPr="002A6BF2">
        <w:rPr>
          <w:lang w:val="en-US"/>
        </w:rPr>
        <w:t>development of platform strains with increased malonyl</w:t>
      </w:r>
      <w:r w:rsidRPr="002A6BF2">
        <w:rPr>
          <w:lang w:val="en-US"/>
        </w:rPr>
        <w:noBreakHyphen/>
        <w:t xml:space="preserve">CoA supply can contribute to </w:t>
      </w:r>
      <w:r w:rsidR="001B5A55" w:rsidRPr="002A6BF2">
        <w:rPr>
          <w:lang w:val="en-US"/>
        </w:rPr>
        <w:t>the efficient production of secondary metabolites, especially if such strains exhibit high tolerance to</w:t>
      </w:r>
      <w:r w:rsidR="004B21C5" w:rsidRPr="002A6BF2">
        <w:rPr>
          <w:lang w:val="en-US"/>
        </w:rPr>
        <w:t>wards</w:t>
      </w:r>
      <w:r w:rsidR="001B5A55" w:rsidRPr="002A6BF2">
        <w:rPr>
          <w:lang w:val="en-US"/>
        </w:rPr>
        <w:t xml:space="preserve"> these chemicals</w:t>
      </w:r>
      <w:r w:rsidRPr="002A6BF2">
        <w:rPr>
          <w:lang w:val="en-US"/>
        </w:rPr>
        <w:t xml:space="preserve">. </w:t>
      </w:r>
      <w:r w:rsidR="00D42B86" w:rsidRPr="002A6BF2">
        <w:rPr>
          <w:lang w:val="en-US"/>
        </w:rPr>
        <w:t>In this study</w:t>
      </w:r>
      <w:r w:rsidRPr="002A6BF2">
        <w:rPr>
          <w:lang w:val="en-US"/>
        </w:rPr>
        <w:t xml:space="preserve">, </w:t>
      </w:r>
      <w:r w:rsidRPr="002A6BF2">
        <w:rPr>
          <w:i/>
          <w:lang w:val="en-US"/>
        </w:rPr>
        <w:t>Pseudomonas</w:t>
      </w:r>
      <w:r w:rsidRPr="002A6BF2">
        <w:rPr>
          <w:lang w:val="en-US"/>
        </w:rPr>
        <w:t xml:space="preserve"> </w:t>
      </w:r>
      <w:r w:rsidRPr="002A6BF2">
        <w:rPr>
          <w:i/>
          <w:lang w:val="en-US"/>
        </w:rPr>
        <w:t>taiwanensis</w:t>
      </w:r>
      <w:r w:rsidRPr="002A6BF2">
        <w:rPr>
          <w:lang w:val="en-US"/>
        </w:rPr>
        <w:t xml:space="preserve"> VLB120 was engineered for increased malonyl-CoA availability to produce bacterial and plant-derived polyketides. A multi-target</w:t>
      </w:r>
      <w:r w:rsidR="006401F9" w:rsidRPr="002A6BF2">
        <w:rPr>
          <w:lang w:val="en-US"/>
        </w:rPr>
        <w:t xml:space="preserve"> metabolic engineering</w:t>
      </w:r>
      <w:r w:rsidRPr="002A6BF2">
        <w:rPr>
          <w:lang w:val="en-US"/>
        </w:rPr>
        <w:t xml:space="preserve"> strategy focusing on decreasing </w:t>
      </w:r>
      <w:r w:rsidR="00974E2A" w:rsidRPr="002A6BF2">
        <w:rPr>
          <w:lang w:val="en-US"/>
        </w:rPr>
        <w:t xml:space="preserve">the </w:t>
      </w:r>
      <w:r w:rsidRPr="002A6BF2">
        <w:rPr>
          <w:lang w:val="en-US"/>
        </w:rPr>
        <w:t>malonyl-CoA drain</w:t>
      </w:r>
      <w:r w:rsidR="00924496" w:rsidRPr="002A6BF2">
        <w:rPr>
          <w:lang w:val="en-US"/>
        </w:rPr>
        <w:t xml:space="preserve"> and</w:t>
      </w:r>
      <w:r w:rsidRPr="002A6BF2">
        <w:rPr>
          <w:lang w:val="en-US"/>
        </w:rPr>
        <w:t xml:space="preserve"> increasing malonyl-CoA precursor availability, </w:t>
      </w:r>
      <w:r w:rsidR="004917BB" w:rsidRPr="002A6BF2">
        <w:rPr>
          <w:lang w:val="en-US"/>
        </w:rPr>
        <w:t xml:space="preserve">led to an </w:t>
      </w:r>
      <w:r w:rsidRPr="002A6BF2">
        <w:rPr>
          <w:lang w:val="en-US"/>
        </w:rPr>
        <w:t>increase</w:t>
      </w:r>
      <w:r w:rsidR="006401F9" w:rsidRPr="002A6BF2">
        <w:rPr>
          <w:lang w:val="en-US"/>
        </w:rPr>
        <w:t>d</w:t>
      </w:r>
      <w:r w:rsidRPr="002A6BF2">
        <w:rPr>
          <w:lang w:val="en-US"/>
        </w:rPr>
        <w:t xml:space="preserve"> production of various malonyl-</w:t>
      </w:r>
      <w:r w:rsidR="00974E2A" w:rsidRPr="002A6BF2">
        <w:rPr>
          <w:lang w:val="en-US"/>
        </w:rPr>
        <w:t>CoA-</w:t>
      </w:r>
      <w:r w:rsidRPr="002A6BF2">
        <w:rPr>
          <w:lang w:val="en-US"/>
        </w:rPr>
        <w:t>derived products</w:t>
      </w:r>
      <w:r w:rsidR="006401F9" w:rsidRPr="002A6BF2">
        <w:rPr>
          <w:lang w:val="en-US"/>
        </w:rPr>
        <w:t>,</w:t>
      </w:r>
      <w:r w:rsidR="009977E2" w:rsidRPr="002A6BF2">
        <w:rPr>
          <w:lang w:val="en-US"/>
        </w:rPr>
        <w:t xml:space="preserve"> including </w:t>
      </w:r>
      <w:r w:rsidR="00D07B22" w:rsidRPr="002A6BF2">
        <w:rPr>
          <w:lang w:val="en-US"/>
        </w:rPr>
        <w:t>pinosylvin, resveratrol and flaviolin</w:t>
      </w:r>
      <w:r w:rsidR="009977E2" w:rsidRPr="002A6BF2">
        <w:rPr>
          <w:lang w:val="en-US"/>
        </w:rPr>
        <w:t>.</w:t>
      </w:r>
      <w:r w:rsidR="00D07B22" w:rsidRPr="002A6BF2">
        <w:rPr>
          <w:lang w:val="en-US"/>
        </w:rPr>
        <w:t xml:space="preserve"> </w:t>
      </w:r>
      <w:r w:rsidRPr="002A6BF2">
        <w:rPr>
          <w:lang w:val="en-US"/>
        </w:rPr>
        <w:t xml:space="preserve">The </w:t>
      </w:r>
      <w:r w:rsidR="00962CD7" w:rsidRPr="002A6BF2">
        <w:rPr>
          <w:lang w:val="en-US"/>
        </w:rPr>
        <w:t xml:space="preserve">production </w:t>
      </w:r>
      <w:r w:rsidRPr="002A6BF2">
        <w:rPr>
          <w:lang w:val="en-US"/>
        </w:rPr>
        <w:t xml:space="preserve">of flaviolin, a molecule deriving from </w:t>
      </w:r>
      <w:r w:rsidR="003619C7" w:rsidRPr="002A6BF2">
        <w:rPr>
          <w:lang w:val="en-US"/>
        </w:rPr>
        <w:t xml:space="preserve">five </w:t>
      </w:r>
      <w:r w:rsidRPr="002A6BF2">
        <w:rPr>
          <w:lang w:val="en-US"/>
        </w:rPr>
        <w:t>malonyl-CoA</w:t>
      </w:r>
      <w:r w:rsidR="003619C7" w:rsidRPr="002A6BF2">
        <w:rPr>
          <w:lang w:val="en-US"/>
        </w:rPr>
        <w:t xml:space="preserve"> molecules</w:t>
      </w:r>
      <w:r w:rsidRPr="002A6BF2">
        <w:rPr>
          <w:lang w:val="en-US"/>
        </w:rPr>
        <w:t>, was doubled</w:t>
      </w:r>
      <w:r w:rsidR="00D07B22" w:rsidRPr="002A6BF2">
        <w:rPr>
          <w:lang w:val="en-US"/>
        </w:rPr>
        <w:t xml:space="preserve"> compared to the parental strain by this malonyl-CoA increasing strategy</w:t>
      </w:r>
      <w:r w:rsidRPr="002A6BF2">
        <w:rPr>
          <w:lang w:val="en-US"/>
        </w:rPr>
        <w:t>. A</w:t>
      </w:r>
      <w:r w:rsidR="003619C7" w:rsidRPr="002A6BF2">
        <w:rPr>
          <w:lang w:val="en-US"/>
        </w:rPr>
        <w:t>dditionally</w:t>
      </w:r>
      <w:r w:rsidRPr="002A6BF2">
        <w:rPr>
          <w:lang w:val="en-US"/>
        </w:rPr>
        <w:t xml:space="preserve">, the engineered </w:t>
      </w:r>
      <w:r w:rsidR="003619C7" w:rsidRPr="002A6BF2">
        <w:rPr>
          <w:lang w:val="en-US"/>
        </w:rPr>
        <w:t xml:space="preserve">platform </w:t>
      </w:r>
      <w:r w:rsidRPr="002A6BF2">
        <w:rPr>
          <w:lang w:val="en-US"/>
        </w:rPr>
        <w:t xml:space="preserve">strain enabled production of up to </w:t>
      </w:r>
      <w:r w:rsidR="00A42326" w:rsidRPr="002A6BF2">
        <w:rPr>
          <w:lang w:val="en-US"/>
        </w:rPr>
        <w:t>84 </w:t>
      </w:r>
      <w:r w:rsidRPr="002A6BF2">
        <w:rPr>
          <w:lang w:val="en-US"/>
        </w:rPr>
        <w:t>mg L</w:t>
      </w:r>
      <w:r w:rsidRPr="002A6BF2">
        <w:rPr>
          <w:vertAlign w:val="superscript"/>
          <w:lang w:val="en-US"/>
        </w:rPr>
        <w:t>-1</w:t>
      </w:r>
      <w:r w:rsidRPr="002A6BF2">
        <w:rPr>
          <w:lang w:val="en-US"/>
        </w:rPr>
        <w:t xml:space="preserve"> resveratrol from supplemented </w:t>
      </w:r>
      <w:r w:rsidRPr="002A6BF2">
        <w:rPr>
          <w:i/>
          <w:lang w:val="en-US"/>
        </w:rPr>
        <w:t>p</w:t>
      </w:r>
      <w:r w:rsidR="00156B95" w:rsidRPr="002A6BF2">
        <w:rPr>
          <w:lang w:val="en-US"/>
        </w:rPr>
        <w:noBreakHyphen/>
      </w:r>
      <w:r w:rsidRPr="002A6BF2">
        <w:rPr>
          <w:lang w:val="en-US"/>
        </w:rPr>
        <w:t xml:space="preserve">coumarate. </w:t>
      </w:r>
      <w:r w:rsidR="00C45D7B" w:rsidRPr="002A6BF2">
        <w:rPr>
          <w:lang w:val="en-US"/>
        </w:rPr>
        <w:t xml:space="preserve">One </w:t>
      </w:r>
      <w:r w:rsidRPr="002A6BF2">
        <w:rPr>
          <w:lang w:val="en-US"/>
        </w:rPr>
        <w:t xml:space="preserve">key finding </w:t>
      </w:r>
      <w:r w:rsidR="00C45D7B" w:rsidRPr="002A6BF2">
        <w:rPr>
          <w:lang w:val="en-US"/>
        </w:rPr>
        <w:t>of this study was</w:t>
      </w:r>
      <w:r w:rsidRPr="002A6BF2">
        <w:rPr>
          <w:lang w:val="en-US"/>
        </w:rPr>
        <w:t xml:space="preserve"> that acetyl-CoA carboxylase overexpression </w:t>
      </w:r>
      <w:r w:rsidR="00F72DA4" w:rsidRPr="002A6BF2">
        <w:rPr>
          <w:lang w:val="en-US"/>
        </w:rPr>
        <w:t xml:space="preserve">majorly </w:t>
      </w:r>
      <w:r w:rsidRPr="002A6BF2">
        <w:rPr>
          <w:lang w:val="en-US"/>
        </w:rPr>
        <w:t>contribute</w:t>
      </w:r>
      <w:r w:rsidR="00C45D7B" w:rsidRPr="002A6BF2">
        <w:rPr>
          <w:lang w:val="en-US"/>
        </w:rPr>
        <w:t>d</w:t>
      </w:r>
      <w:r w:rsidRPr="002A6BF2">
        <w:rPr>
          <w:lang w:val="en-US"/>
        </w:rPr>
        <w:t xml:space="preserve"> to an increased </w:t>
      </w:r>
      <w:r w:rsidR="003619C7" w:rsidRPr="002A6BF2">
        <w:rPr>
          <w:lang w:val="en-US"/>
        </w:rPr>
        <w:t>malonyl-</w:t>
      </w:r>
      <w:r w:rsidRPr="002A6BF2">
        <w:rPr>
          <w:lang w:val="en-US"/>
        </w:rPr>
        <w:t xml:space="preserve">CoA availability for polyketide production </w:t>
      </w:r>
      <w:r w:rsidR="00F72DA4" w:rsidRPr="002A6BF2">
        <w:rPr>
          <w:lang w:val="en-US"/>
        </w:rPr>
        <w:t xml:space="preserve">in dependence on the </w:t>
      </w:r>
      <w:r w:rsidR="00FF7223" w:rsidRPr="002A6BF2">
        <w:rPr>
          <w:lang w:val="en-US"/>
        </w:rPr>
        <w:t xml:space="preserve">used </w:t>
      </w:r>
      <w:r w:rsidR="00F72DA4" w:rsidRPr="002A6BF2">
        <w:rPr>
          <w:lang w:val="en-US"/>
        </w:rPr>
        <w:t xml:space="preserve">strain-background and </w:t>
      </w:r>
      <w:r w:rsidRPr="002A6BF2">
        <w:rPr>
          <w:lang w:val="en-US"/>
        </w:rPr>
        <w:t>whe</w:t>
      </w:r>
      <w:r w:rsidR="00703B78" w:rsidRPr="002A6BF2">
        <w:rPr>
          <w:lang w:val="en-US"/>
        </w:rPr>
        <w:t>ther</w:t>
      </w:r>
      <w:r w:rsidRPr="002A6BF2">
        <w:rPr>
          <w:lang w:val="en-US"/>
        </w:rPr>
        <w:t xml:space="preserve"> downstream </w:t>
      </w:r>
      <w:r w:rsidR="001D7720" w:rsidRPr="002A6BF2">
        <w:rPr>
          <w:lang w:val="en-US"/>
        </w:rPr>
        <w:t xml:space="preserve">fatty acid synthesis </w:t>
      </w:r>
      <w:r w:rsidR="00C45D7B" w:rsidRPr="002A6BF2">
        <w:rPr>
          <w:lang w:val="en-US"/>
        </w:rPr>
        <w:t>was</w:t>
      </w:r>
      <w:r w:rsidRPr="002A6BF2">
        <w:rPr>
          <w:lang w:val="en-US"/>
        </w:rPr>
        <w:t xml:space="preserve"> </w:t>
      </w:r>
      <w:r w:rsidR="006B2CC2" w:rsidRPr="002A6BF2">
        <w:rPr>
          <w:lang w:val="en-US"/>
        </w:rPr>
        <w:t>impaired</w:t>
      </w:r>
      <w:r w:rsidR="00FF7223" w:rsidRPr="002A6BF2">
        <w:rPr>
          <w:lang w:val="en-US"/>
        </w:rPr>
        <w:t>, reflecting its complexity in metabolism</w:t>
      </w:r>
      <w:r w:rsidRPr="002A6BF2">
        <w:rPr>
          <w:lang w:val="en-US"/>
        </w:rPr>
        <w:t xml:space="preserve">. Hence, malonyl-CoA availability is </w:t>
      </w:r>
      <w:r w:rsidR="00143028" w:rsidRPr="002A6BF2">
        <w:rPr>
          <w:lang w:val="en-US"/>
        </w:rPr>
        <w:t xml:space="preserve">primarily </w:t>
      </w:r>
      <w:r w:rsidRPr="002A6BF2">
        <w:rPr>
          <w:lang w:val="en-US"/>
        </w:rPr>
        <w:t xml:space="preserve">determined by </w:t>
      </w:r>
      <w:r w:rsidR="00703B78" w:rsidRPr="002A6BF2">
        <w:rPr>
          <w:lang w:val="en-US"/>
        </w:rPr>
        <w:t xml:space="preserve">competition of the production pathway with </w:t>
      </w:r>
      <w:r w:rsidR="001D7720" w:rsidRPr="002A6BF2">
        <w:rPr>
          <w:lang w:val="en-US"/>
        </w:rPr>
        <w:t>downstream fatty acid synthesis</w:t>
      </w:r>
      <w:r w:rsidR="00703B78" w:rsidRPr="002A6BF2">
        <w:rPr>
          <w:lang w:val="en-US"/>
        </w:rPr>
        <w:t>, while</w:t>
      </w:r>
      <w:r w:rsidR="006B2CC2" w:rsidRPr="002A6BF2">
        <w:rPr>
          <w:lang w:val="en-US"/>
        </w:rPr>
        <w:t xml:space="preserve"> s</w:t>
      </w:r>
      <w:r w:rsidRPr="002A6BF2">
        <w:rPr>
          <w:lang w:val="en-US"/>
        </w:rPr>
        <w:t xml:space="preserve">upply reactions are of secondary importance </w:t>
      </w:r>
      <w:r w:rsidR="001D7720" w:rsidRPr="002A6BF2">
        <w:rPr>
          <w:lang w:val="en-US"/>
        </w:rPr>
        <w:t xml:space="preserve">for </w:t>
      </w:r>
      <w:r w:rsidR="008721E3" w:rsidRPr="002A6BF2">
        <w:rPr>
          <w:lang w:val="en-US"/>
        </w:rPr>
        <w:t>compounds that derive</w:t>
      </w:r>
      <w:r w:rsidRPr="002A6BF2">
        <w:rPr>
          <w:lang w:val="en-US"/>
        </w:rPr>
        <w:t xml:space="preserve"> directly from malonyl-CoA in </w:t>
      </w:r>
      <w:r w:rsidRPr="002A6BF2">
        <w:rPr>
          <w:i/>
          <w:lang w:val="en-US"/>
        </w:rPr>
        <w:t>Pseudomonas</w:t>
      </w:r>
      <w:r w:rsidRPr="002A6BF2">
        <w:rPr>
          <w:lang w:val="en-US"/>
        </w:rPr>
        <w:t>.</w:t>
      </w:r>
    </w:p>
    <w:p w14:paraId="24AED4E6" w14:textId="0DB7B911" w:rsidR="00113DBD" w:rsidRPr="002A6BF2" w:rsidRDefault="00113DBD" w:rsidP="00B84A00">
      <w:pPr>
        <w:spacing w:line="276" w:lineRule="auto"/>
        <w:jc w:val="both"/>
        <w:rPr>
          <w:lang w:val="en-US"/>
        </w:rPr>
      </w:pPr>
    </w:p>
    <w:p w14:paraId="62A7BFB7" w14:textId="77777777" w:rsidR="00423F32" w:rsidRPr="002A6BF2" w:rsidRDefault="00423F32" w:rsidP="00B84A00">
      <w:pPr>
        <w:spacing w:line="276" w:lineRule="auto"/>
        <w:jc w:val="both"/>
        <w:rPr>
          <w:rFonts w:cs="Arial"/>
          <w:lang w:val="en-US"/>
        </w:rPr>
      </w:pPr>
    </w:p>
    <w:p w14:paraId="5872C9C3" w14:textId="0B481873" w:rsidR="00423F32" w:rsidRPr="002A6BF2" w:rsidRDefault="00423F32" w:rsidP="00B84A00">
      <w:pPr>
        <w:spacing w:line="276" w:lineRule="auto"/>
        <w:jc w:val="both"/>
        <w:rPr>
          <w:rFonts w:cs="Arial"/>
          <w:lang w:val="en-US"/>
        </w:rPr>
      </w:pPr>
      <w:r w:rsidRPr="002A6BF2">
        <w:rPr>
          <w:rFonts w:cs="Arial"/>
          <w:b/>
          <w:lang w:val="en-US"/>
        </w:rPr>
        <w:t>Keywords:</w:t>
      </w:r>
      <w:r w:rsidRPr="002A6BF2">
        <w:rPr>
          <w:rFonts w:cs="Arial"/>
          <w:lang w:val="en-US"/>
        </w:rPr>
        <w:t xml:space="preserve"> Polyketide; Malonyl-CoA;</w:t>
      </w:r>
      <w:r w:rsidRPr="002A6BF2">
        <w:rPr>
          <w:rFonts w:cs="Arial"/>
          <w:i/>
          <w:lang w:val="en-US"/>
        </w:rPr>
        <w:t xml:space="preserve"> Pseudomonas</w:t>
      </w:r>
      <w:r w:rsidRPr="002A6BF2">
        <w:rPr>
          <w:rFonts w:cs="Arial"/>
          <w:lang w:val="en-US"/>
        </w:rPr>
        <w:t xml:space="preserve">; Stilbene; Flaviolin; fatty acid biosynthesis </w:t>
      </w:r>
    </w:p>
    <w:p w14:paraId="5C4389A1" w14:textId="77777777" w:rsidR="00423F32" w:rsidRPr="002A6BF2" w:rsidRDefault="00423F32" w:rsidP="00B84A00">
      <w:pPr>
        <w:spacing w:line="276" w:lineRule="auto"/>
        <w:jc w:val="both"/>
        <w:rPr>
          <w:lang w:val="en-US"/>
        </w:rPr>
      </w:pPr>
    </w:p>
    <w:p w14:paraId="622A48BB" w14:textId="77777777" w:rsidR="00B6648E" w:rsidRPr="002A6BF2" w:rsidRDefault="00B6648E" w:rsidP="00B84A00">
      <w:pPr>
        <w:spacing w:line="276" w:lineRule="auto"/>
        <w:jc w:val="both"/>
        <w:rPr>
          <w:lang w:val="en-US"/>
        </w:rPr>
      </w:pPr>
    </w:p>
    <w:p w14:paraId="0B350B39" w14:textId="77777777" w:rsidR="00B6648E" w:rsidRPr="002A6BF2" w:rsidRDefault="00B6648E" w:rsidP="00B84A00">
      <w:pPr>
        <w:spacing w:line="276" w:lineRule="auto"/>
        <w:rPr>
          <w:lang w:val="en-US"/>
        </w:rPr>
      </w:pPr>
      <w:r w:rsidRPr="002A6BF2">
        <w:rPr>
          <w:lang w:val="en-US"/>
        </w:rPr>
        <w:br w:type="page"/>
      </w:r>
    </w:p>
    <w:p w14:paraId="0CFC42A8" w14:textId="38595475" w:rsidR="00D938AC" w:rsidRPr="002A6BF2" w:rsidRDefault="00D938AC" w:rsidP="00B84A00">
      <w:pPr>
        <w:pStyle w:val="berschrift1"/>
        <w:numPr>
          <w:ilvl w:val="0"/>
          <w:numId w:val="11"/>
        </w:numPr>
        <w:spacing w:line="276" w:lineRule="auto"/>
        <w:rPr>
          <w:lang w:val="en-US"/>
        </w:rPr>
      </w:pPr>
      <w:r w:rsidRPr="002A6BF2">
        <w:rPr>
          <w:lang w:val="en-US"/>
        </w:rPr>
        <w:lastRenderedPageBreak/>
        <w:t>Introduction:</w:t>
      </w:r>
    </w:p>
    <w:p w14:paraId="7EB18308" w14:textId="26E4AFB4" w:rsidR="004034F7" w:rsidRPr="002A6BF2" w:rsidRDefault="0058145A" w:rsidP="00B84A00">
      <w:pPr>
        <w:spacing w:line="276" w:lineRule="auto"/>
        <w:jc w:val="both"/>
        <w:rPr>
          <w:lang w:val="en-US"/>
        </w:rPr>
      </w:pPr>
      <w:r w:rsidRPr="002A6BF2">
        <w:rPr>
          <w:lang w:val="en-US"/>
        </w:rPr>
        <w:t xml:space="preserve">Chemical synthesis of plant polyketides is often laborious or unfeasible for very complex products. Currently, the main source of such chemicals are often the natural producers, which accumulate only low </w:t>
      </w:r>
      <w:r w:rsidR="00161697" w:rsidRPr="002A6BF2">
        <w:rPr>
          <w:lang w:val="en-US"/>
        </w:rPr>
        <w:t xml:space="preserve">amounts of </w:t>
      </w:r>
      <w:r w:rsidRPr="002A6BF2">
        <w:rPr>
          <w:lang w:val="en-US"/>
        </w:rPr>
        <w:t>product</w:t>
      </w:r>
      <w:r w:rsidR="00161697" w:rsidRPr="002A6BF2">
        <w:rPr>
          <w:lang w:val="en-US"/>
        </w:rPr>
        <w:t xml:space="preserve"> </w:t>
      </w:r>
      <w:r w:rsidRPr="002A6BF2">
        <w:rPr>
          <w:lang w:val="en-US"/>
        </w:rPr>
        <w:t>embedded in a complex biomass matrix</w:t>
      </w:r>
      <w:r w:rsidR="00A87AEB" w:rsidRPr="002A6BF2">
        <w:rPr>
          <w:lang w:val="en-US"/>
        </w:rPr>
        <w:t xml:space="preserve">. </w:t>
      </w:r>
      <w:r w:rsidR="00613D94" w:rsidRPr="002A6BF2">
        <w:rPr>
          <w:lang w:val="en-US"/>
        </w:rPr>
        <w:t>Their production</w:t>
      </w:r>
      <w:r w:rsidRPr="002A6BF2">
        <w:rPr>
          <w:lang w:val="en-US"/>
        </w:rPr>
        <w:t xml:space="preserve"> thus </w:t>
      </w:r>
      <w:r w:rsidR="000768FA" w:rsidRPr="002A6BF2">
        <w:rPr>
          <w:lang w:val="en-US"/>
        </w:rPr>
        <w:t>require</w:t>
      </w:r>
      <w:r w:rsidR="00D061E1" w:rsidRPr="002A6BF2">
        <w:rPr>
          <w:lang w:val="en-US"/>
        </w:rPr>
        <w:t>s</w:t>
      </w:r>
      <w:r w:rsidRPr="002A6BF2">
        <w:rPr>
          <w:lang w:val="en-US"/>
        </w:rPr>
        <w:t xml:space="preserve"> extensive and costly extraction methods. This can be avoided by the transfer of the natural biosynthesis pathway to industrially established microbial hosts </w:t>
      </w:r>
      <w:r w:rsidRPr="002A6BF2">
        <w:rPr>
          <w:lang w:val="en-US"/>
        </w:rPr>
        <w:fldChar w:fldCharType="begin" w:fldLock="1"/>
      </w:r>
      <w:r w:rsidR="005C514F" w:rsidRPr="002A6BF2">
        <w:rPr>
          <w:lang w:val="en-US"/>
        </w:rPr>
        <w:instrText>ADDIN CSL_CITATION {"citationItems":[{"id":"ITEM-1","itemData":{"DOI":"10.1007/s11274-022-03263-y","ISBN":"0123456789","ISSN":"0959-3993","author":[{"dropping-particle":"","family":"Braga","given":"Adelaide","non-dropping-particle":"","parse-names":false,"suffix":""},{"dropping-particle":"","family":"Faria","given":"Nuno","non-dropping-particle":"","parse-names":false,"suffix":""}],"container-title":"World Journal of Microbiology and Biotechnology","id":"ITEM-1","issue":"5","issued":{"date-parts":[["2022"]]},"publisher":"Springer Netherlands","title":"Biotechnological production of specialty aromatic and aromatic-derivative compounds","type":"article-journal","volume":"38"},"uris":["http://www.mendeley.com/documents/?uuid=b7baa177-328d-4346-9c39-c8fe7d20da02"]},{"id":"ITEM-2","itemData":{"DOI":"10.1042/EBC20200134","author":[{"dropping-particle":"","family":"Wolf","given":"Sabrina","non-dropping-particle":"","parse-names":false,"suffix":""},{"dropping-particle":"","family":"Becker","given":"Judith","non-dropping-particle":"","parse-names":false,"suffix":""},{"dropping-particle":"","family":"Tsuge","given":"Yota","non-dropping-particle":"","parse-names":false,"suffix":""},{"dropping-particle":"","family":"Kawaguchi","given":"Hideo","non-dropping-particle":"","parse-names":false,"suffix":""},{"dropping-particle":"","family":"Kondo","given":"Akihiko","non-dropping-particle":"","parse-names":false,"suffix":""},{"dropping-particle":"","family":"Marienhagen","given":"Jan","non-dropping-particle":"","parse-names":false,"suffix":""},{"dropping-particle":"","family":"Bott","given":"Michael","non-dropping-particle":"","parse-names":false,"suffix":""},{"dropping-particle":"","family":"Wendisch","given":"Volker F","non-dropping-particle":"","parse-names":false,"suffix":""},{"dropping-particle":"","family":"Wittmann","given":"Christoph","non-dropping-particle":"","parse-names":false,"suffix":""}],"container-title":"Essays in Biochemistry","id":"ITEM-2","issue":"April","issued":{"date-parts":[["2021"]]},"page":"1-16","title":"Advances in metabolic engineering of &lt;i&gt;Corynebacterium glutamicum&lt;/i&gt; to produce high-value active ingredients for food, feed, human health, and well-being","type":"article-journal","volume":"0"},"uris":["http://www.mendeley.com/documents/?uuid=2eb08799-5062-470f-9eae-f35328494737"]},{"id":"ITEM-3","itemData":{"DOI":"10.1016/j.tibtech.2019.11.007","ISSN":"18793096","PMID":"31924345","abstract":"Natural products are widely employed in our daily lives as food additives, pharmaceuticals, nutraceuticals, and cosmetic ingredients, among others. However, their supply has often been limited because of low-yield extraction from natural resources such as plants. To overcome this problem, metabolically engineered Escherichia coli has emerged as a cell factory for natural product biosynthesis because of many advantages including the availability of well-established tools and strategies for metabolic engineering and high cell density culture, in addition to its high growth rate. We review state-of-the-art metabolic engineering strategies for enhanced production of natural products in E. coli, together with representative examples. Future challenges and prospects of natural product biosynthesis by engineered E. coli are also discussed.","author":[{"dropping-particle":"","family":"Yang","given":"Dongsoo","non-dropping-particle":"","parse-names":false,"suffix":""},{"dropping-particle":"","family":"Park","given":"Seon Young","non-dropping-particle":"","parse-names":false,"suffix":""},{"dropping-particle":"","family":"Park","given":"Yae Seul","non-dropping-particle":"","parse-names":false,"suffix":""},{"dropping-particle":"","family":"Eun","given":"Hyunmin","non-dropping-particle":"","parse-names":false,"suffix":""},{"dropping-particle":"","family":"Lee","given":"Sang Yup","non-dropping-particle":"","parse-names":false,"suffix":""}],"container-title":"Trends in Biotechnology","id":"ITEM-3","issue":"7","issued":{"date-parts":[["2020"]]},"page":"745-765","publisher":"Elsevier Inc.","title":"Metabolic Engineering of &lt;i&gt;Escherichia coli&lt;/i&gt; for Natural Product Biosynthesis","type":"article-journal","volume":"38"},"uris":["http://www.mendeley.com/documents/?uuid=2c545a64-1459-4bee-88b4-4cb5564743e9"]},{"id":"ITEM-4","itemData":{"DOI":"10.1016/J.COPBIO.2022.102760","ISSN":"0958-1669","author":[{"dropping-particle":"","family":"Yang","given":"Dongsoo","non-dropping-particle":"","parse-names":false,"suffix":""},{"dropping-particle":"","family":"Eun","given":"Hyunmin","non-dropping-particle":"","parse-names":false,"suffix":""},{"dropping-particle":"","family":"Prabowo","given":"Cindy Pricilia Surya","non-dropping-particle":"","parse-names":false,"suffix":""},{"dropping-particle":"","family":"Cho","given":"Sumin","non-dropping-particle":"","parse-names":false,"suffix":""},{"dropping-particle":"","family":"Lee","given":"Sang Yup","non-dropping-particle":"","parse-names":false,"suffix":""}],"container-title":"Current Opinion in Biotechnology","id":"ITEM-4","issued":{"date-parts":[["2022","10","1"]]},"page":"102760","publisher":"Elsevier Current Trends","title":"Metabolic and cellular engineering for the production of natural products","type":"article-journal","volume":"77"},"uris":["http://www.mendeley.com/documents/?uuid=c76f6693-5801-332b-98c0-01bb5894063c"]}],"mendeley":{"formattedCitation":"(Braga &amp; Faria, 2022; Wolf et al., 2021; D. Yang et al., 2020, 2022)","manualFormatting":"(Braga &amp; Faria, 2022; Wolf et al., 2021; Yang et al., 2020, 2022;","plainTextFormattedCitation":"(Braga &amp; Faria, 2022; Wolf et al., 2021; D. Yang et al., 2020, 2022)","previouslyFormattedCitation":"(Braga &amp; Faria, 2022; Wolf et al., 2021; D. Yang et al., 2020, 2022)"},"properties":{"noteIndex":0},"schema":"https://github.com/citation-style-language/schema/raw/master/csl-citation.json"}</w:instrText>
      </w:r>
      <w:r w:rsidRPr="002A6BF2">
        <w:rPr>
          <w:lang w:val="en-US"/>
        </w:rPr>
        <w:fldChar w:fldCharType="separate"/>
      </w:r>
      <w:r w:rsidR="001468EC" w:rsidRPr="002A6BF2">
        <w:rPr>
          <w:noProof/>
          <w:lang w:val="en-US"/>
        </w:rPr>
        <w:t>(Braga &amp; Faria, 2022; Wolf et al., 2021; Yang et al., 2020, 2022</w:t>
      </w:r>
      <w:r w:rsidR="005C514F" w:rsidRPr="002A6BF2">
        <w:rPr>
          <w:noProof/>
          <w:lang w:val="en-US"/>
        </w:rPr>
        <w:t>;</w:t>
      </w:r>
      <w:r w:rsidRPr="002A6BF2">
        <w:rPr>
          <w:lang w:val="en-US"/>
        </w:rPr>
        <w:fldChar w:fldCharType="end"/>
      </w:r>
      <w:r w:rsidR="00CE4B2D" w:rsidRPr="002A6BF2">
        <w:rPr>
          <w:lang w:val="en-US"/>
        </w:rPr>
        <w:fldChar w:fldCharType="begin" w:fldLock="1"/>
      </w:r>
      <w:r w:rsidR="005C514F" w:rsidRPr="002A6BF2">
        <w:rPr>
          <w:lang w:val="en-US"/>
        </w:rPr>
        <w:instrText>ADDIN CSL_CITATION {"citationItems":[{"id":"ITEM-1","itemData":{"DOI":"10.1002/biot.201700463","author":[{"dropping-particle":"","family":"Palmer","given":"Claire M.","non-dropping-particle":"","parse-names":false,"suffix":""},{"dropping-particle":"","family":"Alper","given":"Hal S.","non-dropping-particle":"","parse-names":false,"suffix":""}],"container-title":"Biotechnology Journal","id":"ITEM-1","issued":{"date-parts":[["2019"]]},"title":"Expanding the Chemical Palette of Industrial Microbes: Metabolic Engineering for Type III PKS‐Derived Polyketides","type":"article-journal","volume":"14"},"uris":["http://www.mendeley.com/documents/?uuid=ce554b96-49ce-4870-b942-f8ff13a8a98c"]}],"mendeley":{"formattedCitation":"(Palmer &amp; Alper, 2019)","manualFormatting":" Palmer &amp; Alper, 2019)","plainTextFormattedCitation":"(Palmer &amp; Alper, 2019)","previouslyFormattedCitation":"(Palmer &amp; Alper, 2019)"},"properties":{"noteIndex":0},"schema":"https://github.com/citation-style-language/schema/raw/master/csl-citation.json"}</w:instrText>
      </w:r>
      <w:r w:rsidR="00CE4B2D" w:rsidRPr="002A6BF2">
        <w:rPr>
          <w:lang w:val="en-US"/>
        </w:rPr>
        <w:fldChar w:fldCharType="separate"/>
      </w:r>
      <w:r w:rsidR="005C514F" w:rsidRPr="002A6BF2">
        <w:rPr>
          <w:noProof/>
          <w:lang w:val="en-US"/>
        </w:rPr>
        <w:t xml:space="preserve"> </w:t>
      </w:r>
      <w:r w:rsidR="00CE4B2D" w:rsidRPr="002A6BF2">
        <w:rPr>
          <w:noProof/>
          <w:lang w:val="en-US"/>
        </w:rPr>
        <w:t>Palmer &amp; Alper, 2019)</w:t>
      </w:r>
      <w:r w:rsidR="00CE4B2D" w:rsidRPr="002A6BF2">
        <w:rPr>
          <w:lang w:val="en-US"/>
        </w:rPr>
        <w:fldChar w:fldCharType="end"/>
      </w:r>
      <w:r w:rsidRPr="002A6BF2">
        <w:rPr>
          <w:lang w:val="en-US"/>
        </w:rPr>
        <w:t xml:space="preserve">, which is often essential for the development of a cost-efficient production process </w:t>
      </w:r>
      <w:r w:rsidRPr="002A6BF2">
        <w:rPr>
          <w:lang w:val="en-US"/>
        </w:rPr>
        <w:fldChar w:fldCharType="begin" w:fldLock="1"/>
      </w:r>
      <w:r w:rsidR="00E81DDE" w:rsidRPr="002A6BF2">
        <w:rPr>
          <w:lang w:val="en-US"/>
        </w:rPr>
        <w:instrText>ADDIN CSL_CITATION {"citationItems":[{"id":"ITEM-1","itemData":{"DOI":"10.1186/s12934-017-0732-7","ISSN":"14752859","abstract":"Plant natural products (PNPs) are widely used as pharmaceuticals, nutraceuticals, seasonings, pigments, etc., with a huge commercial value on the global market. However, most of these PNPs are still being extracted from plants. A resource-conserving and environment-friendly synthesis route for PNPs that utilizes microbial cell factories has attracted increasing attention since the 1940s. However, at the present only a handful of PNPs are being produced by microbial cell factories at an industrial scale, and there are still many challenges in their large-scale application. One of the challenges is that most biosynthetic pathways of PNPs are still unknown, which largely limits the number of candidate PNPs for heterologous microbial production. Another challenge is that the metabolic fluxes toward the target products in microbial hosts are often hindered by poor precursor supply, low catalytic activity of enzymes and obstructed product transport. Consequently, despite intensive studies on the metabolic engineering of microbial hosts, the fermentation costs of most heterologously produced PNPs are still too high for industrial-scale production. In this paper, we review several aspects of PNP production in microbial cell factories, including important design principles and recent progress in pathway mining and metabolic engineering. In addition, implemented cases of industrial-scale production of PNPs in microbial cell factories are also highlighted.","author":[{"dropping-particle":"","family":"Liu","given":"Xiaonan","non-dropping-particle":"","parse-names":false,"suffix":""},{"dropping-particle":"","family":"Ding","given":"Wentao","non-dropping-particle":"","parse-names":false,"suffix":""},{"dropping-particle":"","family":"Jiang","given":"Huifeng","non-dropping-particle":"","parse-names":false,"suffix":""}],"container-title":"Microbial Cell Factories","id":"ITEM-1","issue":"1","issued":{"date-parts":[["2017"]]},"page":"1-9","publisher":"BioMed Central","title":"Engineering microbial cell factories for the production of plant natural products: From design principles to industrial-scale production","type":"article-journal","volume":"16"},"uris":["http://www.mendeley.com/documents/?uuid=f8997f50-d7ce-464b-b203-909c816c1c2a"]}],"mendeley":{"formattedCitation":"(X. Liu et al., 2017)","manualFormatting":"(Liu et al., 2017)","plainTextFormattedCitation":"(X. Liu et al., 2017)","previouslyFormattedCitation":"(X. Liu et al., 2017)"},"properties":{"noteIndex":0},"schema":"https://github.com/citation-style-language/schema/raw/master/csl-citation.json"}</w:instrText>
      </w:r>
      <w:r w:rsidRPr="002A6BF2">
        <w:rPr>
          <w:lang w:val="en-US"/>
        </w:rPr>
        <w:fldChar w:fldCharType="separate"/>
      </w:r>
      <w:r w:rsidRPr="002A6BF2">
        <w:rPr>
          <w:noProof/>
          <w:lang w:val="en-US"/>
        </w:rPr>
        <w:t>(Liu et al., 2017)</w:t>
      </w:r>
      <w:r w:rsidRPr="002A6BF2">
        <w:rPr>
          <w:lang w:val="en-US"/>
        </w:rPr>
        <w:fldChar w:fldCharType="end"/>
      </w:r>
      <w:r w:rsidRPr="002A6BF2">
        <w:rPr>
          <w:lang w:val="en-US"/>
        </w:rPr>
        <w:t xml:space="preserve">. Such microbial processes can increase product concentrations, enable better scale-up of production, and facilitate downstream processing </w:t>
      </w:r>
      <w:r w:rsidRPr="002A6BF2">
        <w:rPr>
          <w:lang w:val="en-US"/>
        </w:rPr>
        <w:fldChar w:fldCharType="begin" w:fldLock="1"/>
      </w:r>
      <w:r w:rsidRPr="002A6BF2">
        <w:rPr>
          <w:lang w:val="en-US"/>
        </w:rPr>
        <w:instrText>ADDIN CSL_CITATION {"citationItems":[{"id":"ITEM-1","itemData":{"DOI":"10.1016/j.copbio.2015.11.003","ISSN":"18790429","abstract":"Nutraceuticals are important natural bioactive compounds that confer health-promoting and medical benefits to humans. Globally growing demands for value-added nutraceuticals for prevention and treatment of human diseases have rendered nutraceuticals a multi-billion dollar market. However, supply limitations and extraction difficulties from natural sources such as plants, animals or fungi, restrict the large-scale use of nutraceuticals. Metabolic engineering via microbial production platforms has been advanced as an eco-friendly alternative approach for production of value-added nutraceuticals from simple carbon sources. Microbial platforms like the most widely used Escherichia coli and Saccharomyces cerevisiae have been engineered as versatile cell factories for production of diverse and complex value-added chemicals such as phytochemicals, prebiotics, polysaccaharides and poly amino acids. This review highlights the recent progresses in biological production of value-added nutraceuticals via metabolic engineering approaches.","author":[{"dropping-particle":"","family":"Wang","given":"Jian","non-dropping-particle":"","parse-names":false,"suffix":""},{"dropping-particle":"","family":"Guleria","given":"Sanjay","non-dropping-particle":"","parse-names":false,"suffix":""},{"dropping-particle":"","family":"Koffas","given":"Mattheos A.G.","non-dropping-particle":"","parse-names":false,"suffix":""},{"dropping-particle":"","family":"Yan","given":"Yajun","non-dropping-particle":"","parse-names":false,"suffix":""}],"container-title":"Current Opinion in Biotechnology","id":"ITEM-1","issued":{"date-parts":[["2016"]]},"page":"97-104","publisher":"Elsevier Ltd","title":"Microbial production of value-added nutraceuticals","type":"article-journal","volume":"37"},"uris":["http://www.mendeley.com/documents/?uuid=b1390600-8692-4763-a62d-3d803a3c8622"]},{"id":"ITEM-2","itemData":{"DOI":"10.1021/acssuschemeng.1c05865","author":[{"dropping-particle":"","family":"Tharmasothirajan","given":"Apilaasha","non-dropping-particle":"","parse-names":false,"suffix":""},{"dropping-particle":"","family":"Wellfonder","given":"Marie","non-dropping-particle":"","parse-names":false,"suffix":""},{"dropping-particle":"","family":"Marienhagen","given":"Jan","non-dropping-particle":"","parse-names":false,"suffix":""}],"container-title":"ACS Sustainable Chemistry and Engineering","id":"ITEM-2","issued":{"date-parts":[["2021"]]},"title":"Microbial Polyphenol Production in a Biphasic Process","type":"article-journal"},"uris":["http://www.mendeley.com/documents/?uuid=4ac4a97b-55a2-4ae9-9bc4-739abe7166d1"]}],"mendeley":{"formattedCitation":"(Tharmasothirajan et al., 2021; Wang et al., 2016)","plainTextFormattedCitation":"(Tharmasothirajan et al., 2021; Wang et al., 2016)","previouslyFormattedCitation":"(Tharmasothirajan et al., 2021; Wang et al., 2016)"},"properties":{"noteIndex":0},"schema":"https://github.com/citation-style-language/schema/raw/master/csl-citation.json"}</w:instrText>
      </w:r>
      <w:r w:rsidRPr="002A6BF2">
        <w:rPr>
          <w:lang w:val="en-US"/>
        </w:rPr>
        <w:fldChar w:fldCharType="separate"/>
      </w:r>
      <w:r w:rsidRPr="002A6BF2">
        <w:rPr>
          <w:noProof/>
          <w:lang w:val="en-US"/>
        </w:rPr>
        <w:t>(Tharmasothirajan et al., 2021; Wang et al., 2016)</w:t>
      </w:r>
      <w:r w:rsidRPr="002A6BF2">
        <w:rPr>
          <w:lang w:val="en-US"/>
        </w:rPr>
        <w:fldChar w:fldCharType="end"/>
      </w:r>
      <w:r w:rsidRPr="002A6BF2">
        <w:rPr>
          <w:lang w:val="en-US"/>
        </w:rPr>
        <w:t xml:space="preserve">. </w:t>
      </w:r>
    </w:p>
    <w:p w14:paraId="3B18CC94" w14:textId="0E6FD2B0" w:rsidR="002B1081" w:rsidRPr="002A6BF2" w:rsidRDefault="00754D10" w:rsidP="00B84A00">
      <w:pPr>
        <w:spacing w:line="276" w:lineRule="auto"/>
        <w:jc w:val="both"/>
        <w:rPr>
          <w:lang w:val="en-US"/>
        </w:rPr>
      </w:pPr>
      <w:r w:rsidRPr="002A6BF2">
        <w:rPr>
          <w:lang w:val="en-US"/>
        </w:rPr>
        <w:t>When designing a novel biotechnological production process, it is important to choose a host whose properties best match the expected conditions encountered in the envisioned</w:t>
      </w:r>
      <w:r w:rsidR="00251EBC" w:rsidRPr="002A6BF2">
        <w:rPr>
          <w:lang w:val="en-US"/>
        </w:rPr>
        <w:t xml:space="preserve"> </w:t>
      </w:r>
      <w:r w:rsidR="000C7B4B" w:rsidRPr="002A6BF2">
        <w:rPr>
          <w:lang w:val="en-US"/>
        </w:rPr>
        <w:t>process applications</w:t>
      </w:r>
      <w:r w:rsidR="00251EBC" w:rsidRPr="002A6BF2">
        <w:rPr>
          <w:lang w:val="en-US"/>
        </w:rPr>
        <w:t xml:space="preserve"> </w:t>
      </w:r>
      <w:r w:rsidR="000C7B4B" w:rsidRPr="002A6BF2">
        <w:rPr>
          <w:lang w:val="en-US"/>
        </w:rPr>
        <w:fldChar w:fldCharType="begin" w:fldLock="1"/>
      </w:r>
      <w:r w:rsidR="00D40894" w:rsidRPr="002A6BF2">
        <w:rPr>
          <w:lang w:val="en-US"/>
        </w:rPr>
        <w:instrText>ADDIN CSL_CITATION {"citationItems":[{"id":"ITEM-1","itemData":{"DOI":"10.1016/j.tibtech.2021.08.003","ISSN":"01677799","author":[{"dropping-particle":"","family":"Blombach","given":"Bastian","non-dropping-particle":"","parse-names":false,"suffix":""},{"dropping-particle":"","family":"Grünberger","given":"Alexander","non-dropping-particle":"","parse-names":false,"suffix":""},{"dropping-particle":"","family":"Centler","given":"Florian","non-dropping-particle":"","parse-names":false,"suffix":""},{"dropping-particle":"","family":"Wierckx","given":"Nick","non-dropping-particle":"","parse-names":false,"suffix":""},{"dropping-particle":"","family":"Schmid","given":"Jochen","non-dropping-particle":"","parse-names":false,"suffix":""}],"container-title":"Trends in Biotechnology","id":"ITEM-1","issued":{"date-parts":[["2021"]]},"page":"1-13","publisher":"Elsevier Ltd","title":"Exploiting unconventional prokaryotic hosts for industrial biotechnology","type":"article-journal"},"uris":["http://www.mendeley.com/documents/?uuid=917fe8de-40ec-46f1-8de0-7c8af3613fd5"]}],"mendeley":{"formattedCitation":"(Blombach et al., 2021)","plainTextFormattedCitation":"(Blombach et al., 2021)","previouslyFormattedCitation":"(Blombach et al., 2021)"},"properties":{"noteIndex":0},"schema":"https://github.com/citation-style-language/schema/raw/master/csl-citation.json"}</w:instrText>
      </w:r>
      <w:r w:rsidR="000C7B4B" w:rsidRPr="002A6BF2">
        <w:rPr>
          <w:lang w:val="en-US"/>
        </w:rPr>
        <w:fldChar w:fldCharType="separate"/>
      </w:r>
      <w:r w:rsidR="00B255F3" w:rsidRPr="002A6BF2">
        <w:rPr>
          <w:noProof/>
          <w:lang w:val="en-US"/>
        </w:rPr>
        <w:t>(Blombach et al., 2021)</w:t>
      </w:r>
      <w:r w:rsidR="000C7B4B" w:rsidRPr="002A6BF2">
        <w:rPr>
          <w:lang w:val="en-US"/>
        </w:rPr>
        <w:fldChar w:fldCharType="end"/>
      </w:r>
      <w:r w:rsidR="00251EBC" w:rsidRPr="002A6BF2">
        <w:rPr>
          <w:lang w:val="en-US"/>
        </w:rPr>
        <w:t xml:space="preserve">. </w:t>
      </w:r>
      <w:r w:rsidRPr="002A6BF2">
        <w:rPr>
          <w:lang w:val="en-US"/>
        </w:rPr>
        <w:t>In this respect, b</w:t>
      </w:r>
      <w:r w:rsidR="00BC6B68" w:rsidRPr="002A6BF2">
        <w:rPr>
          <w:lang w:val="en-US"/>
        </w:rPr>
        <w:t xml:space="preserve">acteria </w:t>
      </w:r>
      <w:r w:rsidR="008A2E0D" w:rsidRPr="002A6BF2">
        <w:rPr>
          <w:lang w:val="en-US"/>
        </w:rPr>
        <w:t xml:space="preserve">of the genus </w:t>
      </w:r>
      <w:r w:rsidR="008A2E0D" w:rsidRPr="002A6BF2">
        <w:rPr>
          <w:i/>
          <w:lang w:val="en-US"/>
        </w:rPr>
        <w:t>Pseudomonas</w:t>
      </w:r>
      <w:r w:rsidR="008A2E0D" w:rsidRPr="002A6BF2">
        <w:rPr>
          <w:lang w:val="en-US"/>
        </w:rPr>
        <w:t xml:space="preserve"> are </w:t>
      </w:r>
      <w:r w:rsidR="00BC6B68" w:rsidRPr="002A6BF2">
        <w:rPr>
          <w:lang w:val="en-US"/>
        </w:rPr>
        <w:t>well-known</w:t>
      </w:r>
      <w:r w:rsidR="008A2E0D" w:rsidRPr="002A6BF2">
        <w:rPr>
          <w:lang w:val="en-US"/>
        </w:rPr>
        <w:t xml:space="preserve"> for their resistance </w:t>
      </w:r>
      <w:r w:rsidR="00BC6B68" w:rsidRPr="002A6BF2">
        <w:rPr>
          <w:lang w:val="en-US"/>
        </w:rPr>
        <w:t xml:space="preserve">towards </w:t>
      </w:r>
      <w:r w:rsidR="008A2E0D" w:rsidRPr="002A6BF2">
        <w:rPr>
          <w:lang w:val="en-US"/>
        </w:rPr>
        <w:t>xenobiotics</w:t>
      </w:r>
      <w:r w:rsidR="004034F7" w:rsidRPr="002A6BF2">
        <w:rPr>
          <w:lang w:val="en-US"/>
        </w:rPr>
        <w:t xml:space="preserve"> and</w:t>
      </w:r>
      <w:r w:rsidR="008A2E0D" w:rsidRPr="002A6BF2">
        <w:rPr>
          <w:lang w:val="en-US"/>
        </w:rPr>
        <w:t xml:space="preserve"> solvent tolerance</w:t>
      </w:r>
      <w:r w:rsidR="00882DD6" w:rsidRPr="002A6BF2">
        <w:rPr>
          <w:lang w:val="en-US"/>
        </w:rPr>
        <w:t xml:space="preserve"> </w:t>
      </w:r>
      <w:r w:rsidR="00882DD6" w:rsidRPr="002A6BF2">
        <w:rPr>
          <w:lang w:val="en-US"/>
        </w:rPr>
        <w:fldChar w:fldCharType="begin" w:fldLock="1"/>
      </w:r>
      <w:r w:rsidR="00713BDC" w:rsidRPr="002A6BF2">
        <w:rPr>
          <w:lang w:val="en-US"/>
        </w:rPr>
        <w:instrText>ADDIN CSL_CITATION {"citationItems":[{"id":"ITEM-1","itemData":{"DOI":"10.1093/femsre/fuv006","ISSN":"15746976","abstract":"A number of microorganisms have the ability to thrive in the presence of a range of toxic solvents. Tolerance to these chemicals is a multifactorial process, meaning that bacterial cells use a set of physiological and gene expression changes to overcome the damage imparted by these chemicals. This review focuses mainly on issues related to tolerance to aromatic hydrocarbons and butanol in Pseudomonas, although other microorganisms are also discussed. Pseudomonas putida strains contain a circular chromosome of approximately 6 Mbp which encodes about 5300 genes. A combination of physiological and biochemical assays, a genome-wide collection of mutants and several omics approaches have provided useful information to help identify functions involved in solvent tolerance in P. putida. The solvent response involves fine-tuning of lipid fluidity to adjust membrane functions including impermeabilization, activation of a general stress-response system, increased energy generation and induction of specific efflux pumps that extrude solvents to the medium. These responses are modulated at the transcriptional level by local and global regulators as well as by a number of sRNAs whose levels fluctuate with the presence of solvents in the environment. Taken as a whole these regulatory inputs orchestrate the complex network of metabolic responses observed after solvent addition.","author":[{"dropping-particle":"","family":"Ramos","given":"Juan Luis","non-dropping-particle":"","parse-names":false,"suffix":""},{"dropping-particle":"","family":"Cuenca","given":"Maria Sol","non-dropping-particle":"","parse-names":false,"suffix":""},{"dropping-particle":"","family":"Molina-Santiago","given":"Carlos","non-dropping-particle":"","parse-names":false,"suffix":""},{"dropping-particle":"","family":"Segura","given":"Ana","non-dropping-particle":"","parse-names":false,"suffix":""},{"dropping-particle":"","family":"Duque","given":"Estrella","non-dropping-particle":"","parse-names":false,"suffix":""},{"dropping-particle":"","family":"Ǵomez-Garciá","given":"Mariá R.","non-dropping-particle":"","parse-names":false,"suffix":""},{"dropping-particle":"","family":"Udaondo","given":"Zulema","non-dropping-particle":"","parse-names":false,"suffix":""},{"dropping-particle":"","family":"Roca","given":"Amalia","non-dropping-particle":"","parse-names":false,"suffix":""}],"container-title":"FEMS Microbiology Reviews","id":"ITEM-1","issue":"4","issued":{"date-parts":[["2015"]]},"page":"555-566","title":"Mechanisms of solvent resistance mediated by interplay of cellular factors in &lt;i&gt;Pseudomonas putida&lt;/i&gt;","type":"article-journal","volume":"39"},"uris":["http://www.mendeley.com/documents/?uuid=5ecf92e2-22c2-4ac1-bf8c-f5488d3c8beb"]},{"id":"ITEM-2","itemData":{"DOI":"https://doi.org/10.1042/EBC20200173","abstract":"16","author":[{"dropping-particle":"","family":"Bitzenhofer","given":"Lisa Nora","non-dropping-particle":"","parse-names":false,"suffix":""},{"dropping-particle":"","family":"Kruse","given":"Luzie","non-dropping-particle":"","parse-names":false,"suffix":""},{"dropping-particle":"","family":"Thies","given":"Stephan","non-dropping-particle":"","parse-names":false,"suffix":""},{"dropping-particle":"","family":"Wynands","given":"Benedikt","non-dropping-particle":"","parse-names":false,"suffix":""},{"dropping-particle":"","family":"Lechtenberg","given":"Thorsten","non-dropping-particle":"","parse-names":false,"suffix":""},{"dropping-particle":"","family":"Kozaeva","given":"Ekaterina","non-dropping-particle":"","parse-names":false,"suffix":""},{"dropping-particle":"","family":"Thilo Wirth","given":"Nicolas","non-dropping-particle":"","parse-names":false,"suffix":""},{"dropping-particle":"","family":"Eberlein","given":"Christian","non-dropping-particle":"","parse-names":false,"suffix":""},{"dropping-particle":"","family":"Jaeger","given":"Karl-Erich","non-dropping-particle":"","parse-names":false,"suffix":""},{"dropping-particle":"","family":"Iván Nikel","given":"Pablo","non-dropping-particle":"","parse-names":false,"suffix":""},{"dropping-particle":"","family":"Heipieper","given":"Hermann J","non-dropping-particle":"","parse-names":false,"suffix":""},{"dropping-particle":"","family":"Wierckx","given":"Nick","non-dropping-particle":"","parse-names":false,"suffix":""},{"dropping-particle":"","family":"Loeschcke","given":"Anita","non-dropping-particle":"","parse-names":false,"suffix":""}],"container-title":"Essays in Biochemistry","id":"ITEM-2","issue":"May","issued":{"date-parts":[["2021"]]},"page":"1-18","title":"Towards robust &lt;i&gt;Pseudomonas&lt;/i&gt; cell factories to harbour novel biosynthetic pathways","type":"article-journal","volume":"in press"},"uris":["http://www.mendeley.com/documents/?uuid=7c478ada-acd5-4a61-9310-b9852686c887"]}],"mendeley":{"formattedCitation":"(Bitzenhofer et al., 2021; Ramos et al., 2015)","plainTextFormattedCitation":"(Bitzenhofer et al., 2021; Ramos et al., 2015)","previouslyFormattedCitation":"(Bitzenhofer et al., 2021; Ramos et al., 2015)"},"properties":{"noteIndex":0},"schema":"https://github.com/citation-style-language/schema/raw/master/csl-citation.json"}</w:instrText>
      </w:r>
      <w:r w:rsidR="00882DD6" w:rsidRPr="002A6BF2">
        <w:rPr>
          <w:lang w:val="en-US"/>
        </w:rPr>
        <w:fldChar w:fldCharType="separate"/>
      </w:r>
      <w:r w:rsidR="00B255F3" w:rsidRPr="002A6BF2">
        <w:rPr>
          <w:noProof/>
          <w:lang w:val="en-US"/>
        </w:rPr>
        <w:t>(Bitzenhofer et al., 2021; Ramos et al., 2015)</w:t>
      </w:r>
      <w:r w:rsidR="00882DD6" w:rsidRPr="002A6BF2">
        <w:rPr>
          <w:lang w:val="en-US"/>
        </w:rPr>
        <w:fldChar w:fldCharType="end"/>
      </w:r>
      <w:r w:rsidR="00251EBC" w:rsidRPr="002A6BF2">
        <w:rPr>
          <w:lang w:val="en-US"/>
        </w:rPr>
        <w:t xml:space="preserve">. This </w:t>
      </w:r>
      <w:r w:rsidR="002B1081" w:rsidRPr="002A6BF2">
        <w:rPr>
          <w:lang w:val="en-US"/>
        </w:rPr>
        <w:t>tolerance is</w:t>
      </w:r>
      <w:r w:rsidR="00251EBC" w:rsidRPr="002A6BF2">
        <w:rPr>
          <w:lang w:val="en-US"/>
        </w:rPr>
        <w:t xml:space="preserve"> of</w:t>
      </w:r>
      <w:r w:rsidR="006E091B" w:rsidRPr="002A6BF2">
        <w:rPr>
          <w:lang w:val="en-US"/>
        </w:rPr>
        <w:t xml:space="preserve"> interest</w:t>
      </w:r>
      <w:r w:rsidR="00251EBC" w:rsidRPr="002A6BF2">
        <w:rPr>
          <w:lang w:val="en-US"/>
        </w:rPr>
        <w:t xml:space="preserve"> </w:t>
      </w:r>
      <w:r w:rsidR="008A2E0D" w:rsidRPr="002A6BF2">
        <w:rPr>
          <w:lang w:val="en-US"/>
        </w:rPr>
        <w:t xml:space="preserve">for </w:t>
      </w:r>
      <w:r w:rsidR="00251EBC" w:rsidRPr="002A6BF2">
        <w:rPr>
          <w:lang w:val="en-US"/>
        </w:rPr>
        <w:t>polyketide products display</w:t>
      </w:r>
      <w:r w:rsidR="008A2E0D" w:rsidRPr="002A6BF2">
        <w:rPr>
          <w:lang w:val="en-US"/>
        </w:rPr>
        <w:t>ing</w:t>
      </w:r>
      <w:r w:rsidR="00251EBC" w:rsidRPr="002A6BF2">
        <w:rPr>
          <w:lang w:val="en-US"/>
        </w:rPr>
        <w:t xml:space="preserve"> antimicrobial properties</w:t>
      </w:r>
      <w:r w:rsidR="008D61D4" w:rsidRPr="002A6BF2">
        <w:rPr>
          <w:lang w:val="en-US"/>
        </w:rPr>
        <w:t>. Some</w:t>
      </w:r>
      <w:r w:rsidR="009B5F8C" w:rsidRPr="002A6BF2">
        <w:rPr>
          <w:lang w:val="en-US"/>
        </w:rPr>
        <w:t xml:space="preserve"> </w:t>
      </w:r>
      <w:r w:rsidR="000C7B4B" w:rsidRPr="002A6BF2">
        <w:rPr>
          <w:lang w:val="en-US"/>
        </w:rPr>
        <w:t xml:space="preserve">Pseudomonads </w:t>
      </w:r>
      <w:r w:rsidR="008D61D4" w:rsidRPr="002A6BF2">
        <w:rPr>
          <w:lang w:val="en-US"/>
        </w:rPr>
        <w:t xml:space="preserve">are </w:t>
      </w:r>
      <w:r w:rsidR="00205B4D" w:rsidRPr="002A6BF2">
        <w:rPr>
          <w:lang w:val="en-US"/>
        </w:rPr>
        <w:t>e</w:t>
      </w:r>
      <w:r w:rsidR="008D61D4" w:rsidRPr="002A6BF2">
        <w:rPr>
          <w:lang w:val="en-US"/>
        </w:rPr>
        <w:t xml:space="preserve">ven natural producers of </w:t>
      </w:r>
      <w:r w:rsidR="0058145A" w:rsidRPr="002A6BF2">
        <w:rPr>
          <w:lang w:val="en-US"/>
        </w:rPr>
        <w:t xml:space="preserve">polyketide </w:t>
      </w:r>
      <w:r w:rsidR="008D61D4" w:rsidRPr="002A6BF2">
        <w:rPr>
          <w:lang w:val="en-US"/>
        </w:rPr>
        <w:t>antibiotics</w:t>
      </w:r>
      <w:r w:rsidR="002E0EFE" w:rsidRPr="002A6BF2">
        <w:rPr>
          <w:lang w:val="en-US"/>
        </w:rPr>
        <w:t>,</w:t>
      </w:r>
      <w:r w:rsidR="008D61D4" w:rsidRPr="002A6BF2">
        <w:rPr>
          <w:lang w:val="en-US"/>
        </w:rPr>
        <w:t xml:space="preserve"> </w:t>
      </w:r>
      <w:r w:rsidR="002E0EFE" w:rsidRPr="002A6BF2">
        <w:rPr>
          <w:lang w:val="en-US"/>
        </w:rPr>
        <w:t xml:space="preserve">such as 2,4-diacetylphloroglucinol </w:t>
      </w:r>
      <w:r w:rsidR="00205B4D" w:rsidRPr="002A6BF2">
        <w:rPr>
          <w:lang w:val="en-US"/>
        </w:rPr>
        <w:fldChar w:fldCharType="begin" w:fldLock="1"/>
      </w:r>
      <w:r w:rsidR="00E81DDE" w:rsidRPr="002A6BF2">
        <w:rPr>
          <w:lang w:val="en-US"/>
        </w:rPr>
        <w:instrText>ADDIN CSL_CITATION {"citationItems":[{"id":"ITEM-1","itemData":{"DOI":"10.1007/s00253-011-3712-6","ISSN":"01757598","abstract":"Phloroglucinol derivatives are a major class of secondary metabolites of wide occurrence in biological systems. In the bacteria kingdom, these compounds can only be synthesized by some species of Pseudomonads. Pseudomonas spp. could produce 2,4-diacetylphloroglucinol (DAPG) that plays an important role in the biological control of many plant pathogens. In this review, we summarize knowledge about synthesis of phloroglucinol compounds based on the DAPG biosynthetic pathway. Recent advances that have been made in understanding phloroglucinol compound biosynthesis and regulation are highlighted. From these studies, researchers have identified the biosynthesis pathway of DAPG. Most of the genes involved in the biosynthesis pathway have been cloned and characterized. Additionally, heterologous systems of the model microorganism Escherichia coli are constructed to produce phloroglucinol. Although further work is still required, a full understanding of phloroglucinol compound biosynthesis is almost within reach. This review also suggests new directions and attempts to gain some insights for better understanding of the biosynthesis and regulation of DAPG. The combination of traditional biochemistry and molecular biology with new systems biology and synthetic biology tools will provide a better view of phloroglucinol compound biosynthesis and a greater potential of microbial production. © 2011 Springer-Verlag.","author":[{"dropping-particle":"","family":"Yang","given":"Fang","non-dropping-particle":"","parse-names":false,"suffix":""},{"dropping-particle":"","family":"Cao","given":"Yujin","non-dropping-particle":"","parse-names":false,"suffix":""}],"container-title":"Applied Microbiology and Biotechnology","id":"ITEM-1","issue":"2","issued":{"date-parts":[["2012"]]},"page":"487-495","title":"Biosynthesis of phloroglucinol compounds in microorganisms - Review","type":"article-journal","volume":"93"},"uris":["http://www.mendeley.com/documents/?uuid=d05ee362-e42b-48f1-9b26-4d11fd53fa06"]}],"mendeley":{"formattedCitation":"(F. Yang &amp; Cao, 2012)","manualFormatting":"(Yang &amp; Cao, 2012)","plainTextFormattedCitation":"(F. Yang &amp; Cao, 2012)","previouslyFormattedCitation":"(F. Yang &amp; Cao, 2012)"},"properties":{"noteIndex":0},"schema":"https://github.com/citation-style-language/schema/raw/master/csl-citation.json"}</w:instrText>
      </w:r>
      <w:r w:rsidR="00205B4D" w:rsidRPr="002A6BF2">
        <w:rPr>
          <w:lang w:val="en-US"/>
        </w:rPr>
        <w:fldChar w:fldCharType="separate"/>
      </w:r>
      <w:r w:rsidR="00B255F3" w:rsidRPr="002A6BF2">
        <w:rPr>
          <w:noProof/>
          <w:lang w:val="en-US"/>
        </w:rPr>
        <w:t>(Yang &amp; Cao, 2012)</w:t>
      </w:r>
      <w:r w:rsidR="00205B4D" w:rsidRPr="002A6BF2">
        <w:rPr>
          <w:lang w:val="en-US"/>
        </w:rPr>
        <w:fldChar w:fldCharType="end"/>
      </w:r>
      <w:r w:rsidR="00AE0043" w:rsidRPr="002A6BF2">
        <w:rPr>
          <w:lang w:val="en-US"/>
        </w:rPr>
        <w:t xml:space="preserve"> or mupirocin </w:t>
      </w:r>
      <w:r w:rsidR="00AE0043" w:rsidRPr="002A6BF2">
        <w:rPr>
          <w:lang w:val="en-US"/>
        </w:rPr>
        <w:fldChar w:fldCharType="begin" w:fldLock="1"/>
      </w:r>
      <w:r w:rsidR="00814808" w:rsidRPr="002A6BF2">
        <w:rPr>
          <w:lang w:val="en-US"/>
        </w:rPr>
        <w:instrText>ADDIN CSL_CITATION {"citationItems":[{"id":"ITEM-1","itemData":{"DOI":"10.1007/s00253-011-3128-3","ISSN":"01757598","PMID":"21336932","abstract":"Mupirocin is a polyketide antibiotic produced by Pseudomonas fluorescens. The biosynthetic cluster encodes 6 type I polyketide synthase multifunctional proteins and 29 single function proteins. The biosynthetic pathway belongs to the trans-AT group in which acyltransferase activity is provided by a separate polypeptide rather than in-cis as found in the original type I polyketide synthases. Special features of this group are in-cis methyltransferase domains and a trans-acting HMG-CoA synthase-cassette which insert α- and β- methyl groups respectively while enoyl reductase domains are absent from the condensing modules. In addition, for the mupirocin system, there is no obvious loading mechanism for initiation of the polyketide chain and many aspects of the pathway remain to be elucidated. Mupirocin inhibits isoleucyl-tRNA synthetase and has been used since 1985 to help prevent infection by methicillin-resistant Staphylococcus aureus, particularly within hospitals. Resistance to mupirocin was first detected in 1987 and high-level resistance in S. aureus is due to a plasmid-encoded second isoleucyl-tRNA synthetase, a more eukaryotic-like enzyme. Recent analysis of the biosynthetic pathway for thiomarinols from marine bacteria opens up possibilities to modify mupirocin so as to overcome this resistance. © 2011 Springer-Verlag.","author":[{"dropping-particle":"","family":"Gurney","given":"Rachel","non-dropping-particle":"","parse-names":false,"suffix":""},{"dropping-particle":"","family":"Thomas","given":"Christopher M.","non-dropping-particle":"","parse-names":false,"suffix":""}],"container-title":"Applied Microbiology and Biotechnology","id":"ITEM-1","issue":"1","issued":{"date-parts":[["2011"]]},"page":"11-21","title":"Mupirocin: biosynthesis, special features and applications of an antibiotic from a Gram-negative bacterium","type":"article-journal","volume":"90"},"uris":["http://www.mendeley.com/documents/?uuid=846e763f-a846-406f-b5a8-2c03a8145b86"]}],"mendeley":{"formattedCitation":"(Gurney &amp; Thomas, 2011)","plainTextFormattedCitation":"(Gurney &amp; Thomas, 2011)","previouslyFormattedCitation":"(Gurney &amp; Thomas, 2011)"},"properties":{"noteIndex":0},"schema":"https://github.com/citation-style-language/schema/raw/master/csl-citation.json"}</w:instrText>
      </w:r>
      <w:r w:rsidR="00AE0043" w:rsidRPr="002A6BF2">
        <w:rPr>
          <w:lang w:val="en-US"/>
        </w:rPr>
        <w:fldChar w:fldCharType="separate"/>
      </w:r>
      <w:r w:rsidR="00AE0043" w:rsidRPr="002A6BF2">
        <w:rPr>
          <w:noProof/>
          <w:lang w:val="en-US"/>
        </w:rPr>
        <w:t>(Gurney &amp; Thomas, 2011)</w:t>
      </w:r>
      <w:r w:rsidR="00AE0043" w:rsidRPr="002A6BF2">
        <w:rPr>
          <w:lang w:val="en-US"/>
        </w:rPr>
        <w:fldChar w:fldCharType="end"/>
      </w:r>
      <w:r w:rsidR="00251EBC" w:rsidRPr="002A6BF2">
        <w:rPr>
          <w:lang w:val="en-US"/>
        </w:rPr>
        <w:t xml:space="preserve">. </w:t>
      </w:r>
      <w:r w:rsidR="00FB5D2F" w:rsidRPr="002A6BF2">
        <w:rPr>
          <w:lang w:val="en-US"/>
        </w:rPr>
        <w:t>P</w:t>
      </w:r>
      <w:r w:rsidR="005F3E99" w:rsidRPr="002A6BF2">
        <w:rPr>
          <w:lang w:val="en-US"/>
        </w:rPr>
        <w:t xml:space="preserve">seudomonads may </w:t>
      </w:r>
      <w:r w:rsidR="000C7B4B" w:rsidRPr="002A6BF2">
        <w:rPr>
          <w:lang w:val="en-US"/>
        </w:rPr>
        <w:t xml:space="preserve">also facilitate </w:t>
      </w:r>
      <w:r w:rsidR="005F3E99" w:rsidRPr="002A6BF2">
        <w:rPr>
          <w:lang w:val="en-US"/>
        </w:rPr>
        <w:t xml:space="preserve">functional expression of </w:t>
      </w:r>
      <w:r w:rsidR="006E091B" w:rsidRPr="002A6BF2">
        <w:rPr>
          <w:lang w:val="en-US"/>
        </w:rPr>
        <w:t xml:space="preserve">secondary metabolite </w:t>
      </w:r>
      <w:r w:rsidR="00CF39F6" w:rsidRPr="002A6BF2">
        <w:rPr>
          <w:lang w:val="en-US"/>
        </w:rPr>
        <w:t xml:space="preserve">gene </w:t>
      </w:r>
      <w:r w:rsidR="006E091B" w:rsidRPr="002A6BF2">
        <w:rPr>
          <w:lang w:val="en-US"/>
        </w:rPr>
        <w:t>clusters including</w:t>
      </w:r>
      <w:r w:rsidR="00E54DC8" w:rsidRPr="002A6BF2">
        <w:rPr>
          <w:lang w:val="en-US"/>
        </w:rPr>
        <w:t xml:space="preserve"> e.g.</w:t>
      </w:r>
      <w:r w:rsidR="005F3E99" w:rsidRPr="002A6BF2">
        <w:rPr>
          <w:lang w:val="en-US"/>
        </w:rPr>
        <w:t xml:space="preserve"> polyketide synthases</w:t>
      </w:r>
      <w:r w:rsidR="00E54DC8" w:rsidRPr="002A6BF2">
        <w:rPr>
          <w:lang w:val="en-US"/>
        </w:rPr>
        <w:t xml:space="preserve"> (PKS)</w:t>
      </w:r>
      <w:r w:rsidR="005F3E99" w:rsidRPr="002A6BF2">
        <w:rPr>
          <w:lang w:val="en-US"/>
        </w:rPr>
        <w:t xml:space="preserve"> </w:t>
      </w:r>
      <w:r w:rsidR="00770D54" w:rsidRPr="002A6BF2">
        <w:rPr>
          <w:lang w:val="en-US"/>
        </w:rPr>
        <w:t xml:space="preserve">and polyketide modifying enzymes from organisms </w:t>
      </w:r>
      <w:r w:rsidR="00E81DDE" w:rsidRPr="002A6BF2">
        <w:rPr>
          <w:lang w:val="en-US"/>
        </w:rPr>
        <w:t xml:space="preserve">with varying GC-content </w:t>
      </w:r>
      <w:r w:rsidR="005F3E99" w:rsidRPr="002A6BF2">
        <w:rPr>
          <w:lang w:val="en-US"/>
        </w:rPr>
        <w:t>due to</w:t>
      </w:r>
      <w:r w:rsidR="00E81DDE" w:rsidRPr="002A6BF2">
        <w:rPr>
          <w:lang w:val="en-US"/>
        </w:rPr>
        <w:t xml:space="preserve"> agnostic acceptance of AT-rich regions </w:t>
      </w:r>
      <w:r w:rsidR="00E81DDE" w:rsidRPr="002A6BF2">
        <w:rPr>
          <w:lang w:val="en-US"/>
        </w:rPr>
        <w:fldChar w:fldCharType="begin" w:fldLock="1"/>
      </w:r>
      <w:r w:rsidR="00BA165E" w:rsidRPr="002A6BF2">
        <w:rPr>
          <w:lang w:val="en-US"/>
        </w:rPr>
        <w:instrText>ADDIN CSL_CITATION {"citationItems":[{"id":"ITEM-1","itemData":{"DOI":"10.1016/j.ymben.2021.05.001","ISSN":"10967176","PMID":"33965615","abstract":"Bio-upcycling of plastics is an upcoming alternative approach for the valorization of diverse polymer waste streams that are too contaminated for traditional recycling technologies. Adipic acid and other medium-chain-length dicarboxylates are key components of many plastics including polyamides, polyesters, and polyurethanes. This study endows Pseudomonas putida KT2440 with efficient metabolism of these dicarboxylates. The dcaAKIJP genes from Acinetobacter baylyi, encoding initial uptake and activation steps for dicarboxylates, were heterologously expressed. Genomic integration of these dca genes proved to be a key factor in efficient and reliable expression. In spite of this, adaptive laboratory evolution was needed to connect these initial steps to the native metabolism of P. putida, thereby enabling growth on adipate as sole carbon source. Genome sequencing of evolved strains revealed a central role of a paa gene cluster, which encodes parts of the phenylacetate metabolic degradation pathway with parallels to adipate metabolism. Fast growth required the additional disruption of the regulator-encoding psrA, which upregulates redundant β-oxidation genes. This knowledge enabled the rational reverse engineering of a strain that can not only use adipate, but also other medium-chain-length dicarboxylates like suberate and sebacate. The reverse engineered strain grows on adipate with a rate of 0.35 ± 0.01 h−1, reaching a final biomass yield of 0.27 ± 0.00 gCDW gadipate−1. In a nitrogen-limited medium this strain produced polyhydroxyalkanoates from adipate up to 25% of its CDW. This proves its applicability for the upcycling of mixtures of polymers made from fossile resources into biodegradable counterparts.","author":[{"dropping-particle":"","family":"Ackermann","given":"Yannic S.","non-dropping-particle":"","parse-names":false,"suffix":""},{"dropping-particle":"","family":"Li","given":"Wing-Jin","non-dropping-particle":"","parse-names":false,"suffix":""},{"dropping-particle":"","family":"Hipt","given":"Leonie","non-dropping-particle":"Op de","parse-names":false,"suffix":""},{"dropping-particle":"","family":"Niehoff","given":"Paul-Joachim","non-dropping-particle":"","parse-names":false,"suffix":""},{"dropping-particle":"","family":"Casey","given":"William","non-dropping-particle":"","parse-names":false,"suffix":""},{"dropping-particle":"","family":"Polen","given":"Tino","non-dropping-particle":"","parse-names":false,"suffix":""},{"dropping-particle":"","family":"Köbbing","given":"Sebastian","non-dropping-particle":"","parse-names":false,"suffix":""},{"dropping-particle":"","family":"Ballerstedt","given":"Hendrik","non-dropping-particle":"","parse-names":false,"suffix":""},{"dropping-particle":"","family":"Wynands","given":"Benedikt","non-dropping-particle":"","parse-names":false,"suffix":""},{"dropping-particle":"","family":"O'Connor","given":"Kevin","non-dropping-particle":"","parse-names":false,"suffix":""},{"dropping-particle":"","family":"Blank","given":"Lars M.","non-dropping-particle":"","parse-names":false,"suffix":""},{"dropping-particle":"","family":"Wierckx","given":"Nick","non-dropping-particle":"","parse-names":false,"suffix":""}],"container-title":"Metabolic Engineering","id":"ITEM-1","issue":"February","issued":{"date-parts":[["2021"]]},"page":"29-40","title":"Engineering adipic acid metabolism in &lt;i&gt;Pseudomonas putida&lt;/i&gt;","type":"article-journal","volume":"67"},"uris":["http://www.mendeley.com/documents/?uuid=467642f3-6aae-4818-b8f9-447044d47800"]}],"mendeley":{"formattedCitation":"(Ackermann et al., 2021)","plainTextFormattedCitation":"(Ackermann et al., 2021)","previouslyFormattedCitation":"(Ackermann et al., 2021)"},"properties":{"noteIndex":0},"schema":"https://github.com/citation-style-language/schema/raw/master/csl-citation.json"}</w:instrText>
      </w:r>
      <w:r w:rsidR="00E81DDE" w:rsidRPr="002A6BF2">
        <w:rPr>
          <w:lang w:val="en-US"/>
        </w:rPr>
        <w:fldChar w:fldCharType="separate"/>
      </w:r>
      <w:r w:rsidR="00E81DDE" w:rsidRPr="002A6BF2">
        <w:rPr>
          <w:noProof/>
          <w:lang w:val="en-US"/>
        </w:rPr>
        <w:t>(Ackermann et al., 2021)</w:t>
      </w:r>
      <w:r w:rsidR="00E81DDE" w:rsidRPr="002A6BF2">
        <w:rPr>
          <w:lang w:val="en-US"/>
        </w:rPr>
        <w:fldChar w:fldCharType="end"/>
      </w:r>
      <w:r w:rsidR="00E81DDE" w:rsidRPr="002A6BF2">
        <w:rPr>
          <w:lang w:val="en-US"/>
        </w:rPr>
        <w:t xml:space="preserve"> whilst</w:t>
      </w:r>
      <w:r w:rsidR="005F3E99" w:rsidRPr="002A6BF2">
        <w:rPr>
          <w:lang w:val="en-US"/>
        </w:rPr>
        <w:t xml:space="preserve"> </w:t>
      </w:r>
      <w:r w:rsidR="00E81DDE" w:rsidRPr="002A6BF2">
        <w:rPr>
          <w:lang w:val="en-US"/>
        </w:rPr>
        <w:t>having a</w:t>
      </w:r>
      <w:r w:rsidR="00B04566" w:rsidRPr="002A6BF2">
        <w:rPr>
          <w:lang w:val="en-US"/>
        </w:rPr>
        <w:t xml:space="preserve"> </w:t>
      </w:r>
      <w:r w:rsidR="00A0573D" w:rsidRPr="002A6BF2">
        <w:rPr>
          <w:lang w:val="en-US"/>
        </w:rPr>
        <w:t xml:space="preserve">naturally high </w:t>
      </w:r>
      <w:r w:rsidR="00E81DDE" w:rsidRPr="002A6BF2">
        <w:rPr>
          <w:lang w:val="en-US"/>
        </w:rPr>
        <w:t>GC-</w:t>
      </w:r>
      <w:r w:rsidR="00A0573D" w:rsidRPr="002A6BF2">
        <w:rPr>
          <w:lang w:val="en-US"/>
        </w:rPr>
        <w:t>content</w:t>
      </w:r>
      <w:r w:rsidR="00814808" w:rsidRPr="002A6BF2">
        <w:rPr>
          <w:lang w:val="en-US"/>
        </w:rPr>
        <w:t xml:space="preserve"> </w:t>
      </w:r>
      <w:r w:rsidR="00814808" w:rsidRPr="002A6BF2">
        <w:rPr>
          <w:lang w:val="en-US"/>
        </w:rPr>
        <w:lastRenderedPageBreak/>
        <w:fldChar w:fldCharType="begin" w:fldLock="1"/>
      </w:r>
      <w:r w:rsidR="003A51E9" w:rsidRPr="002A6BF2">
        <w:rPr>
          <w:lang w:val="en-US"/>
        </w:rPr>
        <w:instrText>ADDIN CSL_CITATION {"citationItems":[{"id":"ITEM-1","itemData":{"DOI":"10.1007/s00203-005-0059-3","ISSN":"03028933","abstract":"Type III polyketide synthases (PKS) were regarded as typical for plant secondary metabolism before they were found in microorganisms recently. Due to microbial genome sequencing efforts, more and more type III PKS are found, most of which of unknown function. In this manuscript, we report a comprehensive analysis of the phylogeny of bacterial type III PKS and report the expression of a type III PKS from the myxobacterium Sorangium cellulosum in pseudomonads. There is no precedent of a secondary metabolite that might be biosynthetically correlated to a type III PKS from any myxobacterium. Additionally, an inactivation mutant of the S. cellulosum gene shows no physiological difference compared to the wild-type strain which is why these type III PKS are assumed to be \"silent\" under the laboratory conditions administered. One type III PKS (SoceCHS1) was expressed in different Pseudomonas sp. after the heterologous expression in Escherichia coli failed. Cultures of recombinant Pseudomonas sp. harbouring SoceCHS1 turned red upon incubation and the diffusible pigment formed was identified as 2,5,7-trihydroxy-1,4-naphthoquinone, the autooxidation product of 1,3,6,8-tetrahydroxynaphthalene. The successful heterologous production of a secondary metabolite using a gene not expressed under administered laboratory conditions provides evidence for the usefulness of our approach to activate such secondary metabolite genes for the production of novel metabolites. © Springer-Verlag 2006.","author":[{"dropping-particle":"","family":"Gross","given":"Frank","non-dropping-particle":"","parse-names":false,"suffix":""},{"dropping-particle":"","family":"Luniak","given":"Nora","non-dropping-particle":"","parse-names":false,"suffix":""},{"dropping-particle":"","family":"Perlova","given":"Olena","non-dropping-particle":"","parse-names":false,"suffix":""},{"dropping-particle":"","family":"Gaitatzis","given":"Nikolaos","non-dropping-particle":"","parse-names":false,"suffix":""},{"dropping-particle":"","family":"Jenke-Kodama","given":"Holger","non-dropping-particle":"","parse-names":false,"suffix":""},{"dropping-particle":"","family":"Gerth","given":"Klaus","non-dropping-particle":"","parse-names":false,"suffix":""},{"dropping-particle":"","family":"Gottschalk","given":"Daniela","non-dropping-particle":"","parse-names":false,"suffix":""},{"dropping-particle":"","family":"Dittmann","given":"Elke","non-dropping-particle":"","parse-names":false,"suffix":""},{"dropping-particle":"","family":"Müller","given":"Rolf","non-dropping-particle":"","parse-names":false,"suffix":""}],"container-title":"Archives of Microbiology","id":"ITEM-1","issue":"1","issued":{"date-parts":[["2006"]]},"note":"Test of different Pseudomonas strains for SoCeCHS1 revealed differences of the strains in producing flaviolin.\n\nUV spectrum of flaviolin in Fig 3","page":"28-38","title":"Bacterial type III polyketide synthases: Phylogenetic analysis and potential for the production of novel secondary metabolites by heterologous expression in pseudomonads","type":"article-journal","volume":"185"},"uris":["http://www.mendeley.com/documents/?uuid=86bf55d7-1595-486a-b74b-f104d9076f91"]}],"mendeley":{"formattedCitation":"(Gross et al., 2006)","plainTextFormattedCitation":"(Gross et al., 2006)","previouslyFormattedCitation":"(Gross et al., 2006)"},"properties":{"noteIndex":0},"schema":"https://github.com/citation-style-language/schema/raw/master/csl-citation.json"}</w:instrText>
      </w:r>
      <w:r w:rsidR="00814808" w:rsidRPr="002A6BF2">
        <w:rPr>
          <w:lang w:val="en-US"/>
        </w:rPr>
        <w:fldChar w:fldCharType="separate"/>
      </w:r>
      <w:r w:rsidR="00814808" w:rsidRPr="002A6BF2">
        <w:rPr>
          <w:noProof/>
          <w:lang w:val="en-US"/>
        </w:rPr>
        <w:t>(Gross et al., 2006)</w:t>
      </w:r>
      <w:r w:rsidR="00814808" w:rsidRPr="002A6BF2">
        <w:rPr>
          <w:lang w:val="en-US"/>
        </w:rPr>
        <w:fldChar w:fldCharType="end"/>
      </w:r>
      <w:r w:rsidR="00A365F0" w:rsidRPr="002A6BF2">
        <w:rPr>
          <w:lang w:val="en-US"/>
        </w:rPr>
        <w:t>. Additionally they possess</w:t>
      </w:r>
      <w:r w:rsidR="00E81DDE" w:rsidRPr="002A6BF2">
        <w:rPr>
          <w:lang w:val="en-US"/>
        </w:rPr>
        <w:t xml:space="preserve"> </w:t>
      </w:r>
      <w:r w:rsidR="00A87A65" w:rsidRPr="002A6BF2">
        <w:rPr>
          <w:lang w:val="en-US"/>
        </w:rPr>
        <w:t xml:space="preserve">a </w:t>
      </w:r>
      <w:r w:rsidR="00A0573D" w:rsidRPr="002A6BF2">
        <w:rPr>
          <w:lang w:val="en-US"/>
        </w:rPr>
        <w:t>native</w:t>
      </w:r>
      <w:r w:rsidR="005F3E99" w:rsidRPr="002A6BF2">
        <w:rPr>
          <w:lang w:val="en-US"/>
        </w:rPr>
        <w:t xml:space="preserve"> </w:t>
      </w:r>
      <w:r w:rsidR="00A400D8" w:rsidRPr="002A6BF2">
        <w:rPr>
          <w:lang w:val="en-US"/>
        </w:rPr>
        <w:t xml:space="preserve">phosphopantetheinyl transferase </w:t>
      </w:r>
      <w:r w:rsidR="00F34173" w:rsidRPr="002A6BF2">
        <w:rPr>
          <w:lang w:val="en-US"/>
        </w:rPr>
        <w:t xml:space="preserve">with broad substrate spectrum </w:t>
      </w:r>
      <w:r w:rsidR="005807BF" w:rsidRPr="002A6BF2">
        <w:rPr>
          <w:lang w:val="en-US"/>
        </w:rPr>
        <w:fldChar w:fldCharType="begin" w:fldLock="1"/>
      </w:r>
      <w:r w:rsidR="00D40894" w:rsidRPr="002A6BF2">
        <w:rPr>
          <w:lang w:val="en-US"/>
        </w:rPr>
        <w:instrText>ADDIN CSL_CITATION {"citationItems":[{"id":"ITEM-1","itemData":{"DOI":"10.1042/BJ20110321","ISSN":"02646021","abstract":"PPTases (phosphopantetheinyl transferases) are of great interest owing to their essential roles in activating fatty acid, polyketide and non-ribosomal peptide synthetase enzymes for both primary and secondary metabolism, as well as an increasing number of biotechnological applications. However, existing techniques for PPTase characterization and development are cumbersome and technically challenging. To address this, we have developed the indigoidine-synthesizing non-ribosomal peptide synthetase BpsA as a reporter for PPTase activity. Simple co-transformation allows rapid assessment of the ability of a PPTase candidate to activate BpsA in vivo. Kinetic parameters with respect to either CoA or BpsA as variable substrate can then be derived in vitro by continuously measuring the rate of indigoidine synthesis as the PPTase progressively converts BpsA from its apo into holo form. Subsequently, a competition assay, in which BpsA and purified carrier proteins compete for a limited pool of CoA, enables elucidation of kinetic parameters for a PPTase with those carrier proteins. We used this system to conduct a rapid characterization of three different PPTase enzymes: Sfp of Bacillus subtilis A.T.C.C.6633, PcpS of Pseudomonas aeruginosa PAO1, and the putative PPTase PP1183 of Ps. putida KT2440. We also demonstrate the utility of this system for discovery and characterization of PPTase inhibitors. © The Authors Journal compilation © 2011 Biochemical Society.","author":[{"dropping-particle":"","family":"Owen","given":"Jeremy G.","non-dropping-particle":"","parse-names":false,"suffix":""},{"dropping-particle":"","family":"Copp","given":"Janine N.","non-dropping-particle":"","parse-names":false,"suffix":""},{"dropping-particle":"","family":"Ackerley","given":"David F.","non-dropping-particle":"","parse-names":false,"suffix":""}],"container-title":"Biochemical Journal","id":"ITEM-1","issue":"3","issued":{"date-parts":[["2011"]]},"note":"Table 2 shows measured PPTase kinetics, including PP_1183 from P. putida","page":"709-717","title":"Rapid and flexible biochemical assays for evaluating 4′- phosphopantetheinyl transferase activity","type":"article-journal","volume":"436"},"uris":["http://www.mendeley.com/documents/?uuid=978f6f0f-f850-488e-ba9b-4bdec5c9c0e9"]},{"id":"ITEM-2","itemData":{"DOI":"10.1039/c3np70054b","ISSN":"02650568","PMID":"24292120","abstract":"Covering: up to 2013 Although holo-acyl carrier protein synthase, AcpS, a phosphopantetheinyl transferase (PPTase), was characterized in the 1960s, it was not until the publication of the landmark paper by Lambalot et al. in 1996 that PPTases garnered wide-spread attention being classified as a distinct enzyme superfamily. In the past two decades an increasing number of papers have been published on PPTases ranging from identification, characterization, structure determination, mutagenesis, inhibition, and engineering in synthetic biology. In this review, we comprehensively discuss all current knowledge on this class of enzymes that post-translationally install a 4′-phosphopantetheine arm on various carrier proteins. This journal is © The Royal Society of Chemistry.","author":[{"dropping-particle":"","family":"Beld","given":"Joris","non-dropping-particle":"","parse-names":false,"suffix":""},{"dropping-particle":"","family":"Sonnenschein","given":"Eva C.","non-dropping-particle":"","parse-names":false,"suffix":""},{"dropping-particle":"","family":"Vickery","given":"Christopher R.","non-dropping-particle":"","parse-names":false,"suffix":""},{"dropping-particle":"","family":"Noel","given":"Joseph P.","non-dropping-particle":"","parse-names":false,"suffix":""},{"dropping-particle":"","family":"Burkart","given":"Michael D.","non-dropping-particle":"","parse-names":false,"suffix":""}],"container-title":"Natural Product Reports","id":"ITEM-2","issue":"1","issued":{"date-parts":[["2014"]]},"page":"61-108","title":"The phosphopantetheinyl transferases: Catalysis of a post-translational modification crucial for life","type":"article-journal","volume":"31"},"uris":["http://www.mendeley.com/documents/?uuid=2160f520-6b6a-451a-96ee-e4210f6877a0"]}],"mendeley":{"formattedCitation":"(Beld et al., 2014; Owen et al., 2011)","plainTextFormattedCitation":"(Beld et al., 2014; Owen et al., 2011)","previouslyFormattedCitation":"(Beld et al., 2014; Owen et al., 2011)"},"properties":{"noteIndex":0},"schema":"https://github.com/citation-style-language/schema/raw/master/csl-citation.json"}</w:instrText>
      </w:r>
      <w:r w:rsidR="005807BF" w:rsidRPr="002A6BF2">
        <w:rPr>
          <w:lang w:val="en-US"/>
        </w:rPr>
        <w:fldChar w:fldCharType="separate"/>
      </w:r>
      <w:r w:rsidR="00B255F3" w:rsidRPr="002A6BF2">
        <w:rPr>
          <w:noProof/>
          <w:lang w:val="en-US"/>
        </w:rPr>
        <w:t>(Beld et al., 2014; Owen et al., 2011)</w:t>
      </w:r>
      <w:r w:rsidR="005807BF" w:rsidRPr="002A6BF2">
        <w:rPr>
          <w:lang w:val="en-US"/>
        </w:rPr>
        <w:fldChar w:fldCharType="end"/>
      </w:r>
      <w:r w:rsidR="003265A9" w:rsidRPr="002A6BF2">
        <w:rPr>
          <w:lang w:val="en-US"/>
        </w:rPr>
        <w:t>.</w:t>
      </w:r>
      <w:r w:rsidR="005807BF" w:rsidRPr="002A6BF2">
        <w:rPr>
          <w:lang w:val="en-US"/>
        </w:rPr>
        <w:t xml:space="preserve"> </w:t>
      </w:r>
      <w:r w:rsidR="003265A9" w:rsidRPr="002A6BF2">
        <w:rPr>
          <w:lang w:val="en-US"/>
        </w:rPr>
        <w:t xml:space="preserve">These traits, </w:t>
      </w:r>
      <w:r w:rsidR="003265A9" w:rsidRPr="002A6BF2">
        <w:rPr>
          <w:i/>
          <w:iCs/>
          <w:lang w:val="en-US"/>
        </w:rPr>
        <w:t>inter alia</w:t>
      </w:r>
      <w:r w:rsidR="003265A9" w:rsidRPr="002A6BF2">
        <w:rPr>
          <w:lang w:val="en-US"/>
        </w:rPr>
        <w:t xml:space="preserve">, make </w:t>
      </w:r>
      <w:r w:rsidR="003265A9" w:rsidRPr="002A6BF2">
        <w:rPr>
          <w:iCs/>
          <w:lang w:val="en-US"/>
        </w:rPr>
        <w:t>Pseudomona</w:t>
      </w:r>
      <w:r w:rsidR="00A365F0" w:rsidRPr="002A6BF2">
        <w:rPr>
          <w:iCs/>
          <w:lang w:val="en-US"/>
        </w:rPr>
        <w:t>d</w:t>
      </w:r>
      <w:r w:rsidR="003265A9" w:rsidRPr="002A6BF2">
        <w:rPr>
          <w:iCs/>
          <w:lang w:val="en-US"/>
        </w:rPr>
        <w:t>s</w:t>
      </w:r>
      <w:r w:rsidR="003265A9" w:rsidRPr="002A6BF2">
        <w:rPr>
          <w:i/>
          <w:iCs/>
          <w:lang w:val="en-US"/>
        </w:rPr>
        <w:t xml:space="preserve"> </w:t>
      </w:r>
      <w:r w:rsidR="003265A9" w:rsidRPr="002A6BF2">
        <w:rPr>
          <w:lang w:val="en-US"/>
        </w:rPr>
        <w:t xml:space="preserve">very suitable </w:t>
      </w:r>
      <w:r w:rsidR="00911265" w:rsidRPr="002A6BF2">
        <w:rPr>
          <w:lang w:val="en-US"/>
        </w:rPr>
        <w:t>hosts for</w:t>
      </w:r>
      <w:r w:rsidR="00FB5D2F" w:rsidRPr="002A6BF2">
        <w:rPr>
          <w:lang w:val="en-US"/>
        </w:rPr>
        <w:t xml:space="preserve"> heterologous</w:t>
      </w:r>
      <w:r w:rsidR="00911265" w:rsidRPr="002A6BF2">
        <w:rPr>
          <w:lang w:val="en-US"/>
        </w:rPr>
        <w:t xml:space="preserve"> pathway</w:t>
      </w:r>
      <w:r w:rsidR="002B420B" w:rsidRPr="002A6BF2">
        <w:rPr>
          <w:lang w:val="en-US"/>
        </w:rPr>
        <w:t xml:space="preserve"> implementations </w:t>
      </w:r>
      <w:r w:rsidR="002B420B" w:rsidRPr="002A6BF2">
        <w:rPr>
          <w:lang w:val="en-US"/>
        </w:rPr>
        <w:fldChar w:fldCharType="begin" w:fldLock="1"/>
      </w:r>
      <w:r w:rsidR="002B6309" w:rsidRPr="002A6BF2">
        <w:rPr>
          <w:lang w:val="en-US"/>
        </w:rPr>
        <w:instrText>ADDIN CSL_CITATION {"citationItems":[{"id":"ITEM-1","itemData":{"DOI":"10.1016/j.ymben.2018.05.005","ISSN":"10967184","abstract":"The itinerary followed by Pseudomonas putida from being a soil-dweller and plant colonizer bacterium to become a flexible and engineer-able platform for metabolic engineering stems from its natural lifestyle, which is adapted to harsh environmental conditions and all sorts of physicochemical stresses. Over the years, these properties have been capitalized biotechnologically owing to the expanding wealth of genetic tools designed for deep-editing the P. putida genome. A suite of dedicated vectors inspired in the core tenets of synthetic biology have enabled to suppress many of the naturally-occurring undesirable traits native to this species while enhancing its many appealing properties, and also to import catalytic activities and attributes from other biological systems. Much of the biotechnological interest on P. putida stems from the distinct architecture of its central carbon metabolism. The native biochemistry is naturally geared to generate reductive currency [i.e., NAD(P)H] that makes this bacterium a phenomenal host for redox-intensive reactions. In some cases, genetic editing of the indigenous biochemical network of P. putida (cis-metabolism) has sufficed to obtain target compounds of industrial interest. Yet, the main value and promise of this species (in particular, strain KT2440) resides not only in its capacity to host heterologous pathways from other microorganisms, but also altogether artificial routes (trans-metabolism) for making complex, new-to-Nature molecules. A number of examples are presented for substantiating the worth of P. putida as one of the favorite workhorses for sustainable manufacturing of fine and bulk chemicals in the current times of the 4th Industrial Revolution. The potential of P. putida to extend its rich native biochemistry beyond existing boundaries is discussed and research bottlenecks to this end are also identified. These aspects include not just the innovative genetic design of new strains but also the incorporation of novel chemical elements into the extant biochemistry, as well as genomic stability and scaling-up issues.","author":[{"dropping-particle":"","family":"Nikel","given":"Pablo I.","non-dropping-particle":"","parse-names":false,"suffix":""},{"dropping-particle":"","family":"Lorenzo","given":"Víctor","non-dropping-particle":"de","parse-names":false,"suffix":""}],"container-title":"Metabolic Engineering","id":"ITEM-1","issue":"April","issued":{"date-parts":[["2018"]]},"page":"142-155","publisher":"Elsevier Inc.","title":"&lt;i&gt;Pseudomonas putida&lt;/i&gt; as a functional &lt;i&gt;chassis&lt;/i&gt; for industrial biocatalysis: From native biochemistry to &lt;i&gt;trans&lt;/i&gt;-metabolism","type":"article-journal","volume":"50"},"uris":["http://www.mendeley.com/documents/?uuid=8dbf5379-3327-40c2-a2cb-3d13510bb2d0"]},{"id":"ITEM-2","itemData":{"DOI":"10.1007/s00253-015-6745-4","ISSN":"14320614","abstract":"The biosynthesis of natural products by heterologous expression of biosynthetic pathways in amenable production strains enables biotechnological access to a variety of valuable compounds by conversion of renewable resources. Pseudomonas putida has emerged as a microbial laboratory work horse, with elaborated techniques for cultivation and genetic manipulation available. Beyond that, this bacterium offers several particular advantages with regard to natural product biosynthesis, notably a versatile intrinsic metabolism with diverse enzymatic capacities as well as an outstanding tolerance to xenobiotics. Therefore, it has been applied for recombinant biosynthesis of several valuable natural products. This review provides an overview of applications of P. putida as a host organism for the recombinant biosynthesis of such natural products, including rhamnolipids, terpenoids, polyketides and non-ribosomal peptides, and other amino acid-derived compounds. The focus is on de novo natural product synthesis from intrinsic building blocks by means of heterologous gene expression and strain engineering. Finally, the future potential of the bacterium as a chassis organism for synthetic microbiology is pointed out.","author":[{"dropping-particle":"","family":"Loeschcke","given":"Anita","non-dropping-particle":"","parse-names":false,"suffix":""},{"dropping-particle":"","family":"Thies","given":"Stephan","non-dropping-particle":"","parse-names":false,"suffix":""}],"container-title":"Applied Microbiology and Biotechnology","id":"ITEM-2","issue":"15","issued":{"date-parts":[["2015"]]},"page":"6197-6214","title":"&lt;i&gt;Pseudomonas putida&lt;/i&gt;—a versatile host for the production of natural products","type":"article-journal","volume":"99"},"uris":["http://www.mendeley.com/documents/?uuid=3f14232e-c75f-4626-8900-cb721cdab7c7"]},{"id":"ITEM-3","itemData":{"DOI":"10.1016/j.tibtech.2021.08.003","ISSN":"01677799","author":[{"dropping-particle":"","family":"Blombach","given":"Bastian","non-dropping-particle":"","parse-names":false,"suffix":""},{"dropping-particle":"","family":"Grünberger","given":"Alexander","non-dropping-particle":"","parse-names":false,"suffix":""},{"dropping-particle":"","family":"Centler","given":"Florian","non-dropping-particle":"","parse-names":false,"suffix":""},{"dropping-particle":"","family":"Wierckx","given":"Nick","non-dropping-particle":"","parse-names":false,"suffix":""},{"dropping-particle":"","family":"Schmid","given":"Jochen","non-dropping-particle":"","parse-names":false,"suffix":""}],"container-title":"Trends in Biotechnology","id":"ITEM-3","issued":{"date-parts":[["2021"]]},"page":"1-13","publisher":"Elsevier Ltd","title":"Exploiting unconventional prokaryotic hosts for industrial biotechnology","type":"article-journal"},"uris":["http://www.mendeley.com/documents/?uuid=917fe8de-40ec-46f1-8de0-7c8af3613fd5"]}],"mendeley":{"formattedCitation":"(Blombach et al., 2021; Loeschcke &amp; Thies, 2015; Nikel &amp; de Lorenzo, 2018)","plainTextFormattedCitation":"(Blombach et al., 2021; Loeschcke &amp; Thies, 2015; Nikel &amp; de Lorenzo, 2018)","previouslyFormattedCitation":"(Blombach et al., 2021; Loeschcke &amp; Thies, 2015; Nikel &amp; de Lorenzo, 2018)"},"properties":{"noteIndex":0},"schema":"https://github.com/citation-style-language/schema/raw/master/csl-citation.json"}</w:instrText>
      </w:r>
      <w:r w:rsidR="002B420B" w:rsidRPr="002A6BF2">
        <w:rPr>
          <w:lang w:val="en-US"/>
        </w:rPr>
        <w:fldChar w:fldCharType="separate"/>
      </w:r>
      <w:r w:rsidR="00B255F3" w:rsidRPr="002A6BF2">
        <w:rPr>
          <w:noProof/>
          <w:lang w:val="en-US"/>
        </w:rPr>
        <w:t>(Blombach et al., 2021; Loeschcke &amp; Thies, 2015; Nikel &amp; de Lorenzo, 2018)</w:t>
      </w:r>
      <w:r w:rsidR="002B420B" w:rsidRPr="002A6BF2">
        <w:rPr>
          <w:lang w:val="en-US"/>
        </w:rPr>
        <w:fldChar w:fldCharType="end"/>
      </w:r>
      <w:r w:rsidR="00911265" w:rsidRPr="002A6BF2">
        <w:rPr>
          <w:lang w:val="en-US"/>
        </w:rPr>
        <w:t>.</w:t>
      </w:r>
      <w:r w:rsidR="00781202" w:rsidRPr="002A6BF2">
        <w:rPr>
          <w:lang w:val="en-US"/>
        </w:rPr>
        <w:t xml:space="preserve"> </w:t>
      </w:r>
      <w:r w:rsidR="003265A9" w:rsidRPr="002A6BF2">
        <w:rPr>
          <w:lang w:val="en-US"/>
        </w:rPr>
        <w:t>However</w:t>
      </w:r>
      <w:r w:rsidR="00781202" w:rsidRPr="002A6BF2">
        <w:rPr>
          <w:lang w:val="en-US"/>
        </w:rPr>
        <w:t xml:space="preserve">, </w:t>
      </w:r>
      <w:r w:rsidR="00781202" w:rsidRPr="002A6BF2">
        <w:rPr>
          <w:i/>
          <w:lang w:val="en-US"/>
        </w:rPr>
        <w:t>Pseudomonas</w:t>
      </w:r>
      <w:r w:rsidR="00781202" w:rsidRPr="002A6BF2">
        <w:rPr>
          <w:lang w:val="en-US"/>
        </w:rPr>
        <w:t xml:space="preserve"> is </w:t>
      </w:r>
      <w:r w:rsidR="003265A9" w:rsidRPr="002A6BF2">
        <w:rPr>
          <w:lang w:val="en-US"/>
        </w:rPr>
        <w:t xml:space="preserve">so far </w:t>
      </w:r>
      <w:r w:rsidR="00781202" w:rsidRPr="002A6BF2">
        <w:rPr>
          <w:lang w:val="en-US"/>
        </w:rPr>
        <w:t xml:space="preserve">rarely used for heterologous polyketide synthesis approaches </w:t>
      </w:r>
      <w:r w:rsidR="00781202" w:rsidRPr="002A6BF2">
        <w:rPr>
          <w:lang w:val="en-US"/>
        </w:rPr>
        <w:fldChar w:fldCharType="begin" w:fldLock="1"/>
      </w:r>
      <w:r w:rsidR="00D40894" w:rsidRPr="002A6BF2">
        <w:rPr>
          <w:lang w:val="en-US"/>
        </w:rPr>
        <w:instrText>ADDIN CSL_CITATION {"citationItems":[{"id":"ITEM-1","itemData":{"DOI":"10.1016/j.mec.2019.e00119","ISSN":"22140301","abstract":"Pseudomonas putida is a saprophytic bacterium with robust metabolisms and strong solvent tolerance making it an attractive host for metabolic engineering and bioremediation. Due to its diverse carbon metabolisms, its genome encodes an array of proteins and enzymes that can be readily applied to produce valuable products. In this work we sought to identify design principles and bottlenecks in the production of type III polyketide synthase (T3PKS)-derived compounds in P. putida. T3PKS products are widely used as nutraceuticals and medicines and often require aromatic starter units, such as coumaroyl-CoA, which is also an intermediate in the native coumarate catabolic pathway of P. putida. Using a randomly barcoded transposon mutant (RB-TnSeq) library, we assayed gene functions for a large portion of aromatic catabolism, confirmed known pathways, and proposed new annotations for two aromatic transporters. The 1,3,6,8-tetrahydroxynapthalene synthase of Streptomyces coelicolor (RppA), a microbial T3PKS, was then used to rapidly assay growth conditions for increased T3PKS product accumulation. The feruloyl/coumaroyl CoA synthetase (Fcs) of P. putida was used to supply coumaroyl-CoA for the curcuminoid synthase (CUS) of Oryza sativa, a plant T3PKS. We identified that accumulation of coumaroyl-CoA in this pathway results in extended growth lag times in P. putida. Deletion of the second step in coumarate catabolism, the enoyl-CoA hydratase-lyase (Ech), resulted in increased production of the type III polyketide bisdemethoxycurcumin.","author":[{"dropping-particle":"","family":"Incha","given":"Matthew R.","non-dropping-particle":"","parse-names":false,"suffix":""},{"dropping-particle":"","family":"Thompson","given":"Mitchell G.","non-dropping-particle":"","parse-names":false,"suffix":""},{"dropping-particle":"","family":"Blake-Hedges","given":"Jacquelyn M.","non-dropping-particle":"","parse-names":false,"suffix":""},{"dropping-particle":"","family":"Liu","given":"Yuzhong","non-dropping-particle":"","parse-names":false,"suffix":""},{"dropping-particle":"","family":"Pearson","given":"Allison N.","non-dropping-particle":"","parse-names":false,"suffix":""},{"dropping-particle":"","family":"Schmidt","given":"Matthias","non-dropping-particle":"","parse-names":false,"suffix":""},{"dropping-particle":"","family":"Gin","given":"Jennifer W.","non-dropping-particle":"","parse-names":false,"suffix":""},{"dropping-particle":"","family":"Petzold","given":"Christopher J.","non-dropping-particle":"","parse-names":false,"suffix":""},{"dropping-particle":"","family":"Deutschbauer","given":"Adam M.","non-dropping-particle":"","parse-names":false,"suffix":""},{"dropping-particle":"","family":"Keasling","given":"Jay D.","non-dropping-particle":"","parse-names":false,"suffix":""}],"container-title":"Metabolic Engineering Communications","id":"ITEM-1","issue":"December 2019","issued":{"date-parts":[["2020"]]},"note":"RppA war codon optimized schlechter als die native sequenz\na truncated form of RppA has higher activity\n\ncoumarate supplemented and coumaroyl-CoA is toxic intermediate for bismethoxycurcumin synthesis.\nin situ extraction by oleyl alcohol but does the product go into the supernatant?\n\nfinal bismethoxycurcumin titers reach 2mg/L","page":"e00119","publisher":"Elsevier Ltd","title":"Leveraging host metabolism for bisdemethoxycurcumin production in &lt;i&gt;Pseudomonas putida&lt;/i&gt;","type":"article-journal","volume":"10"},"uris":["http://www.mendeley.com/documents/?uuid=801a185c-2545-4569-9d37-4afea61510b8"]}],"mendeley":{"formattedCitation":"(Incha et al., 2020)","plainTextFormattedCitation":"(Incha et al., 2020)","previouslyFormattedCitation":"(Incha et al., 2020)"},"properties":{"noteIndex":0},"schema":"https://github.com/citation-style-language/schema/raw/master/csl-citation.json"}</w:instrText>
      </w:r>
      <w:r w:rsidR="00781202" w:rsidRPr="002A6BF2">
        <w:rPr>
          <w:lang w:val="en-US"/>
        </w:rPr>
        <w:fldChar w:fldCharType="separate"/>
      </w:r>
      <w:r w:rsidR="00B255F3" w:rsidRPr="002A6BF2">
        <w:rPr>
          <w:noProof/>
          <w:lang w:val="en-US"/>
        </w:rPr>
        <w:t>(Incha et al., 2020)</w:t>
      </w:r>
      <w:r w:rsidR="00781202" w:rsidRPr="002A6BF2">
        <w:rPr>
          <w:lang w:val="en-US"/>
        </w:rPr>
        <w:fldChar w:fldCharType="end"/>
      </w:r>
      <w:r w:rsidR="00781202" w:rsidRPr="002A6BF2">
        <w:rPr>
          <w:lang w:val="en-US"/>
        </w:rPr>
        <w:t>.</w:t>
      </w:r>
      <w:r w:rsidR="00911265" w:rsidRPr="002A6BF2">
        <w:rPr>
          <w:lang w:val="en-US"/>
        </w:rPr>
        <w:t xml:space="preserve"> </w:t>
      </w:r>
      <w:r w:rsidR="00A365F0" w:rsidRPr="002A6BF2">
        <w:rPr>
          <w:lang w:val="en-US"/>
        </w:rPr>
        <w:t>Albeit</w:t>
      </w:r>
      <w:r w:rsidR="0069206D" w:rsidRPr="002A6BF2">
        <w:rPr>
          <w:lang w:val="en-US"/>
        </w:rPr>
        <w:t>,</w:t>
      </w:r>
      <w:r w:rsidR="00911265" w:rsidRPr="002A6BF2">
        <w:rPr>
          <w:lang w:val="en-US"/>
        </w:rPr>
        <w:t xml:space="preserve"> they</w:t>
      </w:r>
      <w:r w:rsidR="005B0FE5" w:rsidRPr="002A6BF2">
        <w:rPr>
          <w:lang w:val="en-US"/>
        </w:rPr>
        <w:t xml:space="preserve"> </w:t>
      </w:r>
      <w:r w:rsidR="005F3E99" w:rsidRPr="002A6BF2">
        <w:rPr>
          <w:lang w:val="en-US"/>
        </w:rPr>
        <w:t xml:space="preserve">allow fermentation process designs </w:t>
      </w:r>
      <w:r w:rsidR="009E7BCD" w:rsidRPr="002A6BF2">
        <w:rPr>
          <w:lang w:val="en-US"/>
        </w:rPr>
        <w:t xml:space="preserve">that are not feasible for other organisms </w:t>
      </w:r>
      <w:r w:rsidR="001B71AE" w:rsidRPr="002A6BF2">
        <w:rPr>
          <w:lang w:val="en-US"/>
        </w:rPr>
        <w:t xml:space="preserve">such as </w:t>
      </w:r>
      <w:r w:rsidR="00911265" w:rsidRPr="002A6BF2">
        <w:rPr>
          <w:lang w:val="en-US"/>
        </w:rPr>
        <w:t>two-phase cultivations</w:t>
      </w:r>
      <w:r w:rsidR="009E7BCD" w:rsidRPr="002A6BF2">
        <w:rPr>
          <w:lang w:val="en-US"/>
        </w:rPr>
        <w:t xml:space="preserve"> with toxic solvents</w:t>
      </w:r>
      <w:r w:rsidR="00387060" w:rsidRPr="002A6BF2">
        <w:rPr>
          <w:lang w:val="en-US"/>
        </w:rPr>
        <w:t xml:space="preserve"> </w:t>
      </w:r>
      <w:r w:rsidR="00382368" w:rsidRPr="002A6BF2">
        <w:rPr>
          <w:lang w:val="en-US"/>
        </w:rPr>
        <w:t xml:space="preserve">(e.g. toluene </w:t>
      </w:r>
      <w:r w:rsidR="00382368" w:rsidRPr="002A6BF2">
        <w:rPr>
          <w:lang w:val="en-US"/>
        </w:rPr>
        <w:fldChar w:fldCharType="begin" w:fldLock="1"/>
      </w:r>
      <w:r w:rsidR="00A32978" w:rsidRPr="002A6BF2">
        <w:rPr>
          <w:lang w:val="en-US"/>
        </w:rPr>
        <w:instrText>ADDIN CSL_CITATION {"citationItems":[{"id":"ITEM-1","itemData":{"DOI":"10.1128/AEM.69.9.5120-5127.2003","ISSN":"00992240","abstract":"The solvent-tolerant strain Pseudomonas putida DOT-T1E has been engineered for biotransformation of toluene into 4-hydroxybenzoate (4-HBA). P. putida DOT-TIE transforms toluene into 3-methylcatechol in a reaction catalyzed by toluene dioxygenase. The todC1C2 genes encode the α and β subunits of the multicomponent enzyme toluene dioxygenase, which catalyzes the first step in the Tod pathway of toluene catabolism. A DOT-T1EΔtodC mutant strain was constructed by homologous recombination and was shown to be unable to use toluene as a sole carbon source. The P. putida pobA gene, whose product is responsible for the hydroxylation of 4-HBA into 3,4-hydroxybenzoate, was cloned by complementation of a Pseudomonas mendocina pobA1 pobA2 double mutant. This pobA gene was knocked out in vitro and used to generate a double mutant, DOT-T1EΔtodCpobA, that was unable to use either toluene or 4-HBA as a carbon source. The tmo andpcu genes from P. mendocina KR1, which catalyze the transformation of toluene into 4-HBA through a combination of the toluene 4-monoxygenase pathway and oxidation of p-cresol into the hydroxylated carboxylic acid, were subcloned in mini-Tn5Tc and stably recruited in the chromosome of DOT-T1EΔtodCpobA. Expression of the tmo and pcu genes took place in a DOT-T1E background due to cross-activation of the tmo promoter by the two-component signal transduction system TodST. Several independent isolates that accumulated 4-HBA in the supernatant from toluene were analyzed. Differences were observed in these clones in the time required for detection of 4-HBA and in the amount of this compound accumulated in the supernatant. The fastest and most noticeable accumulation of 4-HBA (12 mM) was found with a clone designated DOT-T1E-24.","author":[{"dropping-particle":"","family":"Ramos-González","given":"María Isabel","non-dropping-particle":"","parse-names":false,"suffix":""},{"dropping-particle":"","family":"Ben-Bassat","given":"Arie","non-dropping-particle":"","parse-names":false,"suffix":""},{"dropping-particle":"","family":"Campos","given":"María Jesús","non-dropping-particle":"","parse-names":false,"suffix":""},{"dropping-particle":"","family":"Ramos","given":"Juan L.","non-dropping-particle":"","parse-names":false,"suffix":""}],"container-title":"Applied and Environmental Microbiology","id":"ITEM-1","issue":"9","issued":{"date-parts":[["2003"]]},"page":"5120-5127","title":"Genetic engineering of a highly solvent-tolerant &lt;i&gt;Pseudomonas putida&lt;/i&gt; strain for biotransformation of toluene to &lt;i&gt;p&lt;/i&gt;-hydroxybenzoate","type":"article-journal","volume":"69"},"uris":["http://www.mendeley.com/documents/?uuid=a3e8b5d9-4294-4e7a-ade0-d6ab38695849"]}],"mendeley":{"formattedCitation":"(Ramos-González et al., 2003)","plainTextFormattedCitation":"(Ramos-González et al., 2003)","previouslyFormattedCitation":"(Ramos-González et al., 2003)"},"properties":{"noteIndex":0},"schema":"https://github.com/citation-style-language/schema/raw/master/csl-citation.json"}</w:instrText>
      </w:r>
      <w:r w:rsidR="00382368" w:rsidRPr="002A6BF2">
        <w:rPr>
          <w:lang w:val="en-US"/>
        </w:rPr>
        <w:fldChar w:fldCharType="separate"/>
      </w:r>
      <w:r w:rsidR="00382368" w:rsidRPr="002A6BF2">
        <w:rPr>
          <w:noProof/>
          <w:lang w:val="en-US"/>
        </w:rPr>
        <w:t>(Ramos-González et al., 2003)</w:t>
      </w:r>
      <w:r w:rsidR="00382368" w:rsidRPr="002A6BF2">
        <w:rPr>
          <w:lang w:val="en-US"/>
        </w:rPr>
        <w:fldChar w:fldCharType="end"/>
      </w:r>
      <w:r w:rsidR="00382368" w:rsidRPr="002A6BF2">
        <w:rPr>
          <w:lang w:val="en-US"/>
        </w:rPr>
        <w:t xml:space="preserve">, </w:t>
      </w:r>
      <w:r w:rsidR="00387060" w:rsidRPr="002A6BF2">
        <w:rPr>
          <w:lang w:val="en-US"/>
        </w:rPr>
        <w:t xml:space="preserve">decanol, methyl decanoate and more </w:t>
      </w:r>
      <w:r w:rsidR="00387060" w:rsidRPr="002A6BF2">
        <w:rPr>
          <w:lang w:val="en-US"/>
        </w:rPr>
        <w:fldChar w:fldCharType="begin" w:fldLock="1"/>
      </w:r>
      <w:r w:rsidR="00382368" w:rsidRPr="002A6BF2">
        <w:rPr>
          <w:lang w:val="en-US"/>
        </w:rPr>
        <w:instrText>ADDIN CSL_CITATION {"citationItems":[{"id":"ITEM-1","itemData":{"DOI":"10.1039/D0GC02885A","author":[{"dropping-particle":"","family":"Demling","given":"Philipp","non-dropping-particle":"","parse-names":false,"suffix":""},{"dropping-particle":"","family":"Campenhausen","given":"Maximilian","non-dropping-particle":"von","parse-names":false,"suffix":""},{"dropping-particle":"","family":"Grütering","given":"Carolin","non-dropping-particle":"","parse-names":false,"suffix":""},{"dropping-particle":"","family":"Tiso","given":"Till","non-dropping-particle":"","parse-names":false,"suffix":""},{"dropping-particle":"","family":"Jupke","given":"Andreas","non-dropping-particle":"","parse-names":false,"suffix":""},{"dropping-particle":"","family":"Blank","given":"Lars M.","non-dropping-particle":"","parse-names":false,"suffix":""}],"container-title":"Green Chemistry","id":"ITEM-1","issued":{"date-parts":[["2020"]]},"page":"8495-8510","title":"Selection of a recyclable in situ liquid-liquid extraction solvent for foam-free synthesis of rhamnolipids in a two-phase fermentation","type":"article-journal","volume":"22"},"uris":["http://www.mendeley.com/documents/?uuid=785b2c8b-de68-466a-b939-378f5855b281"]}],"mendeley":{"formattedCitation":"(Demling et al., 2020)","plainTextFormattedCitation":"(Demling et al., 2020)","previouslyFormattedCitation":"(Demling et al., 2020)"},"properties":{"noteIndex":0},"schema":"https://github.com/citation-style-language/schema/raw/master/csl-citation.json"}</w:instrText>
      </w:r>
      <w:r w:rsidR="00387060" w:rsidRPr="002A6BF2">
        <w:rPr>
          <w:lang w:val="en-US"/>
        </w:rPr>
        <w:fldChar w:fldCharType="separate"/>
      </w:r>
      <w:r w:rsidR="00387060" w:rsidRPr="002A6BF2">
        <w:rPr>
          <w:noProof/>
          <w:lang w:val="en-US"/>
        </w:rPr>
        <w:t>(Demling et al., 2020)</w:t>
      </w:r>
      <w:r w:rsidR="00387060" w:rsidRPr="002A6BF2">
        <w:rPr>
          <w:lang w:val="en-US"/>
        </w:rPr>
        <w:fldChar w:fldCharType="end"/>
      </w:r>
      <w:r w:rsidR="00382368" w:rsidRPr="002A6BF2">
        <w:rPr>
          <w:lang w:val="en-US"/>
        </w:rPr>
        <w:t>)</w:t>
      </w:r>
      <w:r w:rsidR="009E7BCD" w:rsidRPr="002A6BF2">
        <w:rPr>
          <w:lang w:val="en-US"/>
        </w:rPr>
        <w:t xml:space="preserve"> for </w:t>
      </w:r>
      <w:r w:rsidR="009E7BCD" w:rsidRPr="002A6BF2">
        <w:rPr>
          <w:i/>
          <w:lang w:val="en-US"/>
        </w:rPr>
        <w:t>in situ</w:t>
      </w:r>
      <w:r w:rsidR="009E7BCD" w:rsidRPr="002A6BF2">
        <w:rPr>
          <w:lang w:val="en-US"/>
        </w:rPr>
        <w:t xml:space="preserve"> product extraction</w:t>
      </w:r>
      <w:r w:rsidR="005807BF" w:rsidRPr="002A6BF2">
        <w:rPr>
          <w:lang w:val="en-US"/>
        </w:rPr>
        <w:t xml:space="preserve"> </w:t>
      </w:r>
      <w:r w:rsidR="005807BF" w:rsidRPr="002A6BF2">
        <w:rPr>
          <w:lang w:val="en-US"/>
        </w:rPr>
        <w:fldChar w:fldCharType="begin" w:fldLock="1"/>
      </w:r>
      <w:r w:rsidR="00D40894" w:rsidRPr="002A6BF2">
        <w:rPr>
          <w:lang w:val="en-US"/>
        </w:rPr>
        <w:instrText>ADDIN CSL_CITATION {"citationItems":[{"id":"ITEM-1","itemData":{"DOI":"10.1007/s00253-006-0833-4","ISSN":"01757598","abstract":"Product removal from aqueous media poses a challenge in biotechnological whole-cell biotransformation processes in which substrates and/or products may have toxic effects. The assignment of an additional liquid solvent phase provides a solution, as it facilitates in situ product recovery from aqueous media. In such two-phase systems, toxic substrates and products are present in the aqueous phase in tolerable but still bioavailable amounts. As a matter of course, adequate organic solvents have to possess hydrophobicity properties akin to substrates and products of interest, which in turn involves intrinsic toxicity of the solvents used. The employment of bacteria being able to adapt to otherwise toxic solvents helps to overcome the problem. Adaptive mechanisms enabling such solvent tolerant bacteria to survive and grow in the presence of toxic solvents generally involve either modification of the membrane and cell surface properties, changes in the overall energy status, or the activation and/or induction of active transport systems for extruding solvents from membranes into the environment. It is anticipated that the biotechnological production of a number of important fine chemicals in amounts sufficient to compete economically with chemical syntheses will soon be possible by making use of solvent-tolerant microorganisms. © 2007 Springer-Verlag.","author":[{"dropping-particle":"","family":"Heipieper","given":"Hermann J.","non-dropping-particle":"","parse-names":false,"suffix":""},{"dropping-particle":"","family":"Neumann","given":"Grit","non-dropping-particle":"","parse-names":false,"suffix":""},{"dropping-particle":"","family":"Cornelissen","given":"Sjef","non-dropping-particle":"","parse-names":false,"suffix":""},{"dropping-particle":"","family":"Meinhardt","given":"Friedhelm","non-dropping-particle":"","parse-names":false,"suffix":""}],"container-title":"Applied Microbiology and Biotechnology","id":"ITEM-1","issue":"5","issued":{"date-parts":[["2007"]]},"page":"961-973","title":"Solvent-tolerant bacteria for biotransformations in two-phase fermentation systems","type":"article-journal","volume":"74"},"uris":["http://www.mendeley.com/documents/?uuid=190f0afc-041b-49f0-a290-9a180a89fffb"]}],"mendeley":{"formattedCitation":"(Heipieper et al., 2007)","plainTextFormattedCitation":"(Heipieper et al., 2007)","previouslyFormattedCitation":"(Heipieper et al., 2007)"},"properties":{"noteIndex":0},"schema":"https://github.com/citation-style-language/schema/raw/master/csl-citation.json"}</w:instrText>
      </w:r>
      <w:r w:rsidR="005807BF" w:rsidRPr="002A6BF2">
        <w:rPr>
          <w:lang w:val="en-US"/>
        </w:rPr>
        <w:fldChar w:fldCharType="separate"/>
      </w:r>
      <w:r w:rsidR="00B255F3" w:rsidRPr="002A6BF2">
        <w:rPr>
          <w:noProof/>
          <w:lang w:val="en-US"/>
        </w:rPr>
        <w:t>(Heipieper et al., 2007)</w:t>
      </w:r>
      <w:r w:rsidR="005807BF" w:rsidRPr="002A6BF2">
        <w:rPr>
          <w:lang w:val="en-US"/>
        </w:rPr>
        <w:fldChar w:fldCharType="end"/>
      </w:r>
      <w:r w:rsidR="005F3E99" w:rsidRPr="002A6BF2">
        <w:rPr>
          <w:lang w:val="en-US"/>
        </w:rPr>
        <w:t xml:space="preserve">. </w:t>
      </w:r>
      <w:r w:rsidR="00E54DC8" w:rsidRPr="002A6BF2">
        <w:rPr>
          <w:lang w:val="en-US"/>
        </w:rPr>
        <w:t xml:space="preserve">Hence, </w:t>
      </w:r>
      <w:r w:rsidR="00E54D2B" w:rsidRPr="002A6BF2">
        <w:rPr>
          <w:lang w:val="en-US"/>
        </w:rPr>
        <w:t xml:space="preserve">development of </w:t>
      </w:r>
      <w:r w:rsidR="00E54DC8" w:rsidRPr="002A6BF2">
        <w:rPr>
          <w:lang w:val="en-US"/>
        </w:rPr>
        <w:t xml:space="preserve">a </w:t>
      </w:r>
      <w:r w:rsidR="00E54DC8" w:rsidRPr="002A6BF2">
        <w:rPr>
          <w:i/>
          <w:lang w:val="en-US"/>
        </w:rPr>
        <w:t>Pseudomonas</w:t>
      </w:r>
      <w:r w:rsidR="00E54DC8" w:rsidRPr="002A6BF2">
        <w:rPr>
          <w:lang w:val="en-US"/>
        </w:rPr>
        <w:t xml:space="preserve"> platform for secondary metabolite production</w:t>
      </w:r>
      <w:r w:rsidR="001B71AE" w:rsidRPr="002A6BF2">
        <w:rPr>
          <w:lang w:val="en-US"/>
        </w:rPr>
        <w:t>, especially polyketides</w:t>
      </w:r>
      <w:r w:rsidR="001D7720" w:rsidRPr="002A6BF2">
        <w:rPr>
          <w:lang w:val="en-US"/>
        </w:rPr>
        <w:t>,</w:t>
      </w:r>
      <w:r w:rsidR="00E54DC8" w:rsidRPr="002A6BF2">
        <w:rPr>
          <w:lang w:val="en-US"/>
        </w:rPr>
        <w:t xml:space="preserve"> </w:t>
      </w:r>
      <w:r w:rsidR="00526F35" w:rsidRPr="002A6BF2">
        <w:rPr>
          <w:lang w:val="en-US"/>
        </w:rPr>
        <w:t>is highly</w:t>
      </w:r>
      <w:r w:rsidR="00E54DC8" w:rsidRPr="002A6BF2">
        <w:rPr>
          <w:lang w:val="en-US"/>
        </w:rPr>
        <w:t xml:space="preserve"> desirable.</w:t>
      </w:r>
    </w:p>
    <w:p w14:paraId="6BC99171" w14:textId="7B96F5D5" w:rsidR="00793C96" w:rsidRPr="002A6BF2" w:rsidRDefault="002B420B" w:rsidP="00B84A00">
      <w:pPr>
        <w:spacing w:line="276" w:lineRule="auto"/>
        <w:jc w:val="both"/>
        <w:rPr>
          <w:lang w:val="en-US"/>
        </w:rPr>
      </w:pPr>
      <w:r w:rsidRPr="002A6BF2">
        <w:rPr>
          <w:lang w:val="en-US"/>
        </w:rPr>
        <w:t xml:space="preserve">Aromatics production via the shikimate pathway is well established in </w:t>
      </w:r>
      <w:r w:rsidR="00FB5D2F" w:rsidRPr="002A6BF2">
        <w:rPr>
          <w:lang w:val="en-US"/>
        </w:rPr>
        <w:t xml:space="preserve">Pseudomonads </w:t>
      </w:r>
      <w:r w:rsidRPr="002A6BF2">
        <w:rPr>
          <w:lang w:val="en-US"/>
        </w:rPr>
        <w:t xml:space="preserve">and many </w:t>
      </w:r>
      <w:r w:rsidR="00107644" w:rsidRPr="002A6BF2">
        <w:rPr>
          <w:lang w:val="en-US"/>
        </w:rPr>
        <w:t xml:space="preserve">different molecules </w:t>
      </w:r>
      <w:r w:rsidR="00FB5D2F" w:rsidRPr="002A6BF2">
        <w:rPr>
          <w:lang w:val="en-US"/>
        </w:rPr>
        <w:t>derived from aromatic amino acids can be synthesized efficiently</w:t>
      </w:r>
      <w:r w:rsidR="00633036" w:rsidRPr="002A6BF2">
        <w:rPr>
          <w:lang w:val="en-US"/>
        </w:rPr>
        <w:t xml:space="preserve"> </w:t>
      </w:r>
      <w:r w:rsidR="00107644" w:rsidRPr="002A6BF2">
        <w:rPr>
          <w:lang w:val="en-US"/>
        </w:rPr>
        <w:t>such as</w:t>
      </w:r>
      <w:r w:rsidR="00633036" w:rsidRPr="002A6BF2">
        <w:rPr>
          <w:lang w:val="en-US"/>
        </w:rPr>
        <w:t xml:space="preserve"> phenol </w:t>
      </w:r>
      <w:r w:rsidR="00C05102" w:rsidRPr="002A6BF2">
        <w:rPr>
          <w:lang w:val="en-US"/>
        </w:rPr>
        <w:fldChar w:fldCharType="begin" w:fldLock="1"/>
      </w:r>
      <w:r w:rsidR="00C05102" w:rsidRPr="002A6BF2">
        <w:rPr>
          <w:lang w:val="en-US"/>
        </w:rPr>
        <w:instrText>ADDIN CSL_CITATION {"citationItems":[{"id":"ITEM-1","itemData":{"DOI":"10.1016/j.ymben.2018.03.011","ISSN":"10967184","abstract":"Aromatic chemicals are important building blocks for the production of a multitude of everyday commodities. Currently, aromatics production relies almost exclusively on petrochemical processes. To achieve sustainability, alternative synthesis methods need to be developed. Here, we strived for an efficient production of phenol, a model aromatic compound of industrial relevance, from renewable carbon sources using the solvent-tolerant biocatalyst Pseudomonas taiwanensis VLB120. First, multiple catabolic routes for the degradation of aromatics and related compounds were inactivated, thereby obtaining the chassis strain P. taiwanensis VLB120Δ5 incapable of growing on 4-hydroxybenzoate (ΔpobA), tyrosine (Δhpd), and quinate (ΔquiC, ΔquiC1, ΔquiC2). In this context, a novel gene contributing to the quinate catabolism was identified (quiC2). Second, we employed a combination of reverse- and forward engineering to increase metabolic flux towards the product, using leads obtained from the analysis of aromatics producing Pseudomonas putida strains previously generated by mutagenesis. Phenol production was enabled by the heterologous expression of a codon-optimized and chromosomally integrated tyrosine phenol-lyase encoding gene from Pantoea agglomerans AJ2985 (PaTPL2). The genomic modification of endogenous genes encoding TrpEP290S, AroF-1P148L, and PheAT310I, and the deletion of pykA improved phenol production 17-fold, while also minimizing the burden caused by plasmids and auxotrophies. The additional overexpression of known bottleneck enzymes (AroGfbr, TyrAfbr) derived from Escherichia coli further enhanced phenol titers. The best producing strain P. taiwanensis VLB120Δ5-TPL36 reached yields of 15.8% and 18.5% (Cmol/Cmol) phenol from glucose and glycerol, respectively, in a mineral medium without addition of complex nutrients. This is the highest yield ever reported for microbially produced phenol.","author":[{"dropping-particle":"","family":"Wynands","given":"Benedikt","non-dropping-particle":"","parse-names":false,"suffix":""},{"dropping-particle":"","family":"Lenzen","given":"Christoph","non-dropping-particle":"","parse-names":false,"suffix":""},{"dropping-particle":"","family":"Otto","given":"Maike","non-dropping-particle":"","parse-names":false,"suffix":""},{"dropping-particle":"","family":"Koch","given":"Falk","non-dropping-particle":"","parse-names":false,"suffix":""},{"dropping-particle":"","family":"Blank","given":"Lars M.","non-dropping-particle":"","parse-names":false,"suffix":""},{"dropping-particle":"","family":"Wierckx","given":"Nick","non-dropping-particle":"","parse-names":false,"suffix":""}],"container-title":"Metabolic Engineering","id":"ITEM-1","issue":"December 2017","issued":{"date-parts":[["2018"]]},"page":"121-133","publisher":"Elsevier Inc.","title":"Metabolic engineering of &lt;i&gt;Pseudomonas taiwanensis&lt;/i&gt; VLB120 with minimal genomic modifications for high-yield phenol production","type":"article-journal","volume":"47"},"uris":["http://www.mendeley.com/documents/?uuid=4f57a70f-b323-400a-8556-964eeabbceb1"]}],"mendeley":{"formattedCitation":"(Wynands et al., 2018)","plainTextFormattedCitation":"(Wynands et al., 2018)","previouslyFormattedCitation":"(Wynands et al., 2018)"},"properties":{"noteIndex":0},"schema":"https://github.com/citation-style-language/schema/raw/master/csl-citation.json"}</w:instrText>
      </w:r>
      <w:r w:rsidR="00C05102" w:rsidRPr="002A6BF2">
        <w:rPr>
          <w:lang w:val="en-US"/>
        </w:rPr>
        <w:fldChar w:fldCharType="separate"/>
      </w:r>
      <w:r w:rsidR="00C05102" w:rsidRPr="002A6BF2">
        <w:rPr>
          <w:noProof/>
          <w:lang w:val="en-US"/>
        </w:rPr>
        <w:t>(Wynands et al., 2018)</w:t>
      </w:r>
      <w:r w:rsidR="00C05102" w:rsidRPr="002A6BF2">
        <w:rPr>
          <w:lang w:val="en-US"/>
        </w:rPr>
        <w:fldChar w:fldCharType="end"/>
      </w:r>
      <w:r w:rsidR="00633036" w:rsidRPr="002A6BF2">
        <w:rPr>
          <w:lang w:val="en-US"/>
        </w:rPr>
        <w:t xml:space="preserve">, </w:t>
      </w:r>
      <w:r w:rsidR="00633036" w:rsidRPr="002A6BF2">
        <w:rPr>
          <w:i/>
          <w:lang w:val="en-US"/>
        </w:rPr>
        <w:t>trans</w:t>
      </w:r>
      <w:r w:rsidR="00633036" w:rsidRPr="002A6BF2">
        <w:rPr>
          <w:lang w:val="en-US"/>
        </w:rPr>
        <w:t>-cinnamate</w:t>
      </w:r>
      <w:r w:rsidR="00C05102" w:rsidRPr="002A6BF2">
        <w:rPr>
          <w:lang w:val="en-US"/>
        </w:rPr>
        <w:t xml:space="preserve"> </w:t>
      </w:r>
      <w:r w:rsidR="00C05102" w:rsidRPr="002A6BF2">
        <w:rPr>
          <w:lang w:val="en-US"/>
        </w:rPr>
        <w:fldChar w:fldCharType="begin" w:fldLock="1"/>
      </w:r>
      <w:r w:rsidR="00675192" w:rsidRPr="002A6BF2">
        <w:rPr>
          <w:lang w:val="en-US"/>
        </w:rPr>
        <w:instrText>ADDIN CSL_CITATION {"citationItems":[{"id":"ITEM-1","itemData":{"author":[{"dropping-particle":"","family":"Otto","given":"Maike","non-dropping-particle":"","parse-names":false,"suffix":""},{"dropping-particle":"","family":"Wynands","given":"Benedikt","non-dropping-particle":"","parse-names":false,"suffix":""},{"dropping-particle":"","family":"Lenzen","given":"Christoph","non-dropping-particle":"","parse-names":false,"suffix":""},{"dropping-particle":"","family":"Filbig","given":"Melanie","non-dropping-particle":"","parse-names":false,"suffix":""},{"dropping-particle":"","family":"Blank","given":"Lars M.","non-dropping-particle":"","parse-names":false,"suffix":""},{"dropping-particle":"","family":"Wierckx","given":"Nick","non-dropping-particle":"","parse-names":false,"suffix":""}],"container-title":"Frontiers in Bioengineering and Biotechnology","id":"ITEM-1","issue":"312","issued":{"date-parts":[["2019"]]},"title":"Rational Engineering of Phenylalanine Accumulation in &lt;i&gt;Pseudomonas taiwanensis&lt;/i&gt; to Enable High-Yield Production of &lt;i&gt;Trans&lt;/i&gt;-cinnamate","type":"article-journal","volume":"7"},"uris":["http://www.mendeley.com/documents/?uuid=cc52d9b6-c3a4-4b3e-8064-c01f80200ec1"]}],"mendeley":{"formattedCitation":"(Otto et al., 2019)","plainTextFormattedCitation":"(Otto et al., 2019)","previouslyFormattedCitation":"(Otto et al., 2019)"},"properties":{"noteIndex":0},"schema":"https://github.com/citation-style-language/schema/raw/master/csl-citation.json"}</w:instrText>
      </w:r>
      <w:r w:rsidR="00C05102" w:rsidRPr="002A6BF2">
        <w:rPr>
          <w:lang w:val="en-US"/>
        </w:rPr>
        <w:fldChar w:fldCharType="separate"/>
      </w:r>
      <w:r w:rsidR="00C05102" w:rsidRPr="002A6BF2">
        <w:rPr>
          <w:noProof/>
          <w:lang w:val="en-US"/>
        </w:rPr>
        <w:t>(Otto et al., 2019)</w:t>
      </w:r>
      <w:r w:rsidR="00C05102" w:rsidRPr="002A6BF2">
        <w:rPr>
          <w:lang w:val="en-US"/>
        </w:rPr>
        <w:fldChar w:fldCharType="end"/>
      </w:r>
      <w:r w:rsidR="00633036" w:rsidRPr="002A6BF2">
        <w:rPr>
          <w:lang w:val="en-US"/>
        </w:rPr>
        <w:t>,</w:t>
      </w:r>
      <w:r w:rsidR="00107644" w:rsidRPr="002A6BF2">
        <w:rPr>
          <w:lang w:val="en-US"/>
        </w:rPr>
        <w:t xml:space="preserve"> or</w:t>
      </w:r>
      <w:r w:rsidR="00633036" w:rsidRPr="002A6BF2">
        <w:rPr>
          <w:lang w:val="en-US"/>
        </w:rPr>
        <w:t xml:space="preserve"> </w:t>
      </w:r>
      <w:r w:rsidR="00633036" w:rsidRPr="002A6BF2">
        <w:rPr>
          <w:i/>
          <w:lang w:val="en-US"/>
        </w:rPr>
        <w:t>cis</w:t>
      </w:r>
      <w:r w:rsidR="00633036" w:rsidRPr="002A6BF2">
        <w:rPr>
          <w:lang w:val="en-US"/>
        </w:rPr>
        <w:t>,</w:t>
      </w:r>
      <w:r w:rsidR="00633036" w:rsidRPr="002A6BF2">
        <w:rPr>
          <w:i/>
          <w:lang w:val="en-US"/>
        </w:rPr>
        <w:t>cis</w:t>
      </w:r>
      <w:r w:rsidR="00633036" w:rsidRPr="002A6BF2">
        <w:rPr>
          <w:lang w:val="en-US"/>
        </w:rPr>
        <w:t>-muconate</w:t>
      </w:r>
      <w:r w:rsidR="00C05102" w:rsidRPr="002A6BF2">
        <w:rPr>
          <w:lang w:val="en-US"/>
        </w:rPr>
        <w:t xml:space="preserve"> </w:t>
      </w:r>
      <w:r w:rsidR="00C05102" w:rsidRPr="002A6BF2">
        <w:rPr>
          <w:lang w:val="en-US"/>
        </w:rPr>
        <w:fldChar w:fldCharType="begin" w:fldLock="1"/>
      </w:r>
      <w:r w:rsidR="002B6309" w:rsidRPr="002A6BF2">
        <w:rPr>
          <w:lang w:val="en-US"/>
        </w:rPr>
        <w:instrText>ADDIN CSL_CITATION {"citationItems":[{"id":"ITEM-1","itemData":{"DOI":"https://doi.org/10.1016/j.ymben.2021.12.010","abstract":"The transformation of 4-hydroxybenzoate (4-HBA) to protocatechuate (PCA) is catalyzed by flavoprotein oxygenases known as para-hydroxybenzoate-3-hydroxylases (PHBHs). In Pseudomonas putida KT2440 (P. putida) strains engineered to convert lignin-related aromatic compounds to muconic acid (MA), PHBH activity is rate-limiting, as indicated by the accumulation of 4-HBA, which ultimately limits MA productivity. Here, we hypothesized that replacement of PobA, the native P. putida PHBH, with PraI, a PHBH from Paenibacillus sp. JJ-1b with a broader nicotinamide cofactor preference, could alleviate this bottleneck. Biochemical assays confirmed the strict preference of NADPH for PobA, while PraI can utilize either NADH or NADPH. Kinetic assays demonstrated that both PobA and PraI can utilize NADPH with comparable catalytic efficiency and that PraI also efficiently utilizes NADH at roughly half the catalytic efficiency. The X-ray crystal structure of PraI was solved and revealed absolute conservation of the active site architecture to other PHBH structures despite their differing cofactor preferences. To understand the effect in vivo, we compared three P. putida strains engineered to produce MA from p-coumarate (pCA), showing that expression of praI leads to lower 4-HBA accumulation and decreased NADP+/NADPH ratios relative to strains harboring pobA, indicative of a relieved 4-HBA bottleneck due to increased NADPH availability. In bioreactor cultivations, a strain exclusively expressing praI achieved a titer of 40 g/L MA at 100% molar yield and a productivity of 0.5 g/L/h. Overall, this study demonstrates the benefit of sampling readily available natural enzyme diversity for debottlenecking metabolic flux in an engineered strain for microbial conversion of lignin-derived compounds to value-added products.","author":[{"dropping-particle":"","family":"Kuatsjah","given":"Eugene","non-dropping-particle":"","parse-names":false,"suffix":""},{"dropping-particle":"","family":"Johnson","given":"Christopher W.","non-dropping-particle":"","parse-names":false,"suffix":""},{"dropping-particle":"","family":"Salvachúa","given":"Davinia","non-dropping-particle":"","parse-names":false,"suffix":""},{"dropping-particle":"","family":"Werner","given":"Allison Z.","non-dropping-particle":"","parse-names":false,"suffix":""},{"dropping-particle":"","family":"Zahn","given":"Michael","non-dropping-particle":"","parse-names":false,"suffix":""},{"dropping-particle":"","family":"Szostkiewicz","given":"Caralyn J.","non-dropping-particle":"","parse-names":false,"suffix":""},{"dropping-particle":"","family":"Singer","given":"Christine A.","non-dropping-particle":"","parse-names":false,"suffix":""},{"dropping-particle":"","family":"Dominick","given":"Graham","non-dropping-particle":"","parse-names":false,"suffix":""},{"dropping-particle":"","family":"Okekeogbu","given":"Ikenna","non-dropping-particle":"","parse-names":false,"suffix":""},{"dropping-particle":"","family":"Haugen","given":"Stefan J.","non-dropping-particle":"","parse-names":false,"suffix":""},{"dropping-particle":"","family":"Woodworth","given":"Sean P.","non-dropping-particle":"","parse-names":false,"suffix":""},{"dropping-particle":"","family":"Ramirez","given":"Kelsey J.","non-dropping-particle":"","parse-names":false,"suffix":""},{"dropping-particle":"","family":"Giannone","given":"Richard J.","non-dropping-particle":"","parse-names":false,"suffix":""},{"dropping-particle":"","family":"Hettich","given":"Robert L.","non-dropping-particle":"","parse-names":false,"suffix":""},{"dropping-particle":"","family":"McGeehan","given":"John E.","non-dropping-particle":"","parse-names":false,"suffix":""},{"dropping-particle":"","family":"Beckham","given":"Gregg T.","non-dropping-particle":"","parse-names":false,"suffix":""}],"container-title":"Metabolic Engineering","id":"ITEM-1","issued":{"date-parts":[["2022"]]},"page":"31-42","title":"Debottlenecking 4-hydroxybenzoate hydroxylation in &lt;i&gt;Pseudomonas putida&lt;/i&gt; KT2440 improves muconate productivity from &lt;i&gt;p&lt;/i&gt;-coumarate","type":"article-journal","volume":"70"},"uris":["http://www.mendeley.com/documents/?uuid=af784476-9f0d-4e77-b2c6-f0ac2c2526c7"]},{"id":"ITEM-2","itemData":{"DOI":"10.1038/s41467-022-32296-y","ISBN":"4146702232","author":[{"dropping-particle":"","family":"Ling","given":"Chen","non-dropping-particle":"","parse-names":false,"suffix":""},{"dropping-particle":"","family":"Peabody","given":"George L.","non-dropping-particle":"","parse-names":false,"suffix":""},{"dropping-particle":"","family":"Salvachúa","given":"Davinia","non-dropping-particle":"","parse-names":false,"suffix":""},{"dropping-particle":"","family":"Kim","given":"Young-mo","non-dropping-particle":"","parse-names":false,"suffix":""},{"dropping-particle":"","family":"Kneucker","given":"Colin M.","non-dropping-particle":"","parse-names":false,"suffix":""},{"dropping-particle":"","family":"Calvey","given":"Christopher H.","non-dropping-particle":"","parse-names":false,"suffix":""},{"dropping-particle":"","family":"Monninger","given":"Michela A.","non-dropping-particle":"","parse-names":false,"suffix":""},{"dropping-particle":"","family":"Munoz","given":"Nathalie Munoz","non-dropping-particle":"","parse-names":false,"suffix":""},{"dropping-particle":"","family":"Poirier","given":"Brenton C.","non-dropping-particle":"","parse-names":false,"suffix":""},{"dropping-particle":"","family":"Ramirez","given":"Kelsey J.","non-dropping-particle":"","parse-names":false,"suffix":""},{"dropping-particle":"St.","family":"John","given":"Peter C.","non-dropping-particle":"","parse-names":false,"suffix":""},{"dropping-particle":"","family":"Woodworth","given":"Sean P.","non-dropping-particle":"","parse-names":false,"suffix":""},{"dropping-particle":"","family":"Magnuson","given":"Jon K.","non-dropping-particle":"","parse-names":false,"suffix":""},{"dropping-particle":"","family":"Burnum-Johnson","given":"Kristin E.","non-dropping-particle":"","parse-names":false,"suffix":""},{"dropping-particle":"","family":"Guss","given":"Adam M.","non-dropping-particle":"","parse-names":false,"suffix":""},{"dropping-particle":"","family":"Johnson","given":"Christopher W.","non-dropping-particle":"","parse-names":false,"suffix":""},{"dropping-particle":"","family":"Beckham","given":"Gregg T.","non-dropping-particle":"","parse-names":false,"suffix":""}],"container-title":"Nature Communications","id":"ITEM-2","issue":"4925","issued":{"date-parts":[["2022"]]},"publisher":"Springer US","title":"Muconic acid production from glucose and xylose in &lt;i&gt;Pseudomonas putida&lt;/i&gt; via evolution and metabolic engineering","type":"article-journal","volume":"13"},"uris":["http://www.mendeley.com/documents/?uuid=bd105910-8688-496f-a0b5-b8e4020c73f1"]}],"mendeley":{"formattedCitation":"(Kuatsjah et al., 2022; Ling et al., 2022)","plainTextFormattedCitation":"(Kuatsjah et al., 2022; Ling et al., 2022)","previouslyFormattedCitation":"(Kuatsjah et al., 2022; Ling et al., 2022)"},"properties":{"noteIndex":0},"schema":"https://github.com/citation-style-language/schema/raw/master/csl-citation.json"}</w:instrText>
      </w:r>
      <w:r w:rsidR="00C05102" w:rsidRPr="002A6BF2">
        <w:rPr>
          <w:lang w:val="en-US"/>
        </w:rPr>
        <w:fldChar w:fldCharType="separate"/>
      </w:r>
      <w:r w:rsidR="00C05102" w:rsidRPr="002A6BF2">
        <w:rPr>
          <w:noProof/>
          <w:lang w:val="en-US"/>
        </w:rPr>
        <w:t>(Kuatsjah et al., 2022; Ling et al., 2022)</w:t>
      </w:r>
      <w:r w:rsidR="00C05102" w:rsidRPr="002A6BF2">
        <w:rPr>
          <w:lang w:val="en-US"/>
        </w:rPr>
        <w:fldChar w:fldCharType="end"/>
      </w:r>
      <w:r w:rsidR="00633036" w:rsidRPr="002A6BF2">
        <w:rPr>
          <w:lang w:val="en-US"/>
        </w:rPr>
        <w:t xml:space="preserve"> </w:t>
      </w:r>
      <w:r w:rsidR="00107644" w:rsidRPr="002A6BF2">
        <w:rPr>
          <w:lang w:val="en-US"/>
        </w:rPr>
        <w:t xml:space="preserve">among </w:t>
      </w:r>
      <w:r w:rsidR="00633036" w:rsidRPr="002A6BF2">
        <w:rPr>
          <w:lang w:val="en-US"/>
        </w:rPr>
        <w:t>many more</w:t>
      </w:r>
      <w:r w:rsidR="00C05102" w:rsidRPr="002A6BF2">
        <w:rPr>
          <w:lang w:val="en-US"/>
        </w:rPr>
        <w:t xml:space="preserve"> </w:t>
      </w:r>
      <w:r w:rsidR="00C05102" w:rsidRPr="002A6BF2">
        <w:rPr>
          <w:lang w:val="en-US"/>
        </w:rPr>
        <w:fldChar w:fldCharType="begin" w:fldLock="1"/>
      </w:r>
      <w:r w:rsidR="00C05102" w:rsidRPr="002A6BF2">
        <w:rPr>
          <w:lang w:val="en-US"/>
        </w:rPr>
        <w:instrText>ADDIN CSL_CITATION {"citationItems":[{"id":"ITEM-1","itemData":{"DOI":"10.1002/biot.201900569","ISSN":"1860-6768","author":[{"dropping-particle":"","family":"Schwanemann","given":"Tobias","non-dropping-particle":"","parse-names":false,"suffix":""},{"dropping-particle":"","family":"Otto","given":"Maike","non-dropping-particle":"","parse-names":false,"suffix":""},{"dropping-particle":"","family":"Wierckx","given":"Nick","non-dropping-particle":"","parse-names":false,"suffix":""},{"dropping-particle":"","family":"Wynands","given":"Benedikt","non-dropping-particle":"","parse-names":false,"suffix":""}],"container-title":"Biotechnology Journal","id":"ITEM-1","issued":{"date-parts":[["2020"]]},"page":"1900569","title":"&lt;i&gt;Pseudomonas&lt;/i&gt; as Versatile Aromatics Cell Factory","type":"article-journal","volume":"1900569"},"uris":["http://www.mendeley.com/documents/?uuid=9a1b1545-2780-4d7e-899b-b6acac64a4c0"]}],"mendeley":{"formattedCitation":"(Schwanemann et al., 2020)","plainTextFormattedCitation":"(Schwanemann et al., 2020)","previouslyFormattedCitation":"(Schwanemann et al., 2020)"},"properties":{"noteIndex":0},"schema":"https://github.com/citation-style-language/schema/raw/master/csl-citation.json"}</w:instrText>
      </w:r>
      <w:r w:rsidR="00C05102" w:rsidRPr="002A6BF2">
        <w:rPr>
          <w:lang w:val="en-US"/>
        </w:rPr>
        <w:fldChar w:fldCharType="separate"/>
      </w:r>
      <w:r w:rsidR="00C05102" w:rsidRPr="002A6BF2">
        <w:rPr>
          <w:noProof/>
          <w:lang w:val="en-US"/>
        </w:rPr>
        <w:t>(Schwanemann et al., 2020)</w:t>
      </w:r>
      <w:r w:rsidR="00C05102" w:rsidRPr="002A6BF2">
        <w:rPr>
          <w:lang w:val="en-US"/>
        </w:rPr>
        <w:fldChar w:fldCharType="end"/>
      </w:r>
      <w:r w:rsidRPr="002A6BF2">
        <w:rPr>
          <w:lang w:val="en-US"/>
        </w:rPr>
        <w:t xml:space="preserve">. </w:t>
      </w:r>
      <w:r w:rsidR="00023CDF" w:rsidRPr="002A6BF2">
        <w:rPr>
          <w:lang w:val="en-US"/>
        </w:rPr>
        <w:t>Alternatively,</w:t>
      </w:r>
      <w:r w:rsidR="00191B64" w:rsidRPr="002A6BF2">
        <w:rPr>
          <w:lang w:val="en-US"/>
        </w:rPr>
        <w:t xml:space="preserve"> aromatics are</w:t>
      </w:r>
      <w:r w:rsidRPr="002A6BF2">
        <w:rPr>
          <w:lang w:val="en-US"/>
        </w:rPr>
        <w:t xml:space="preserve"> </w:t>
      </w:r>
      <w:r w:rsidR="00457BCD" w:rsidRPr="002A6BF2">
        <w:rPr>
          <w:lang w:val="en-US"/>
        </w:rPr>
        <w:t xml:space="preserve">produced from </w:t>
      </w:r>
      <w:r w:rsidR="00C05102" w:rsidRPr="002A6BF2">
        <w:rPr>
          <w:lang w:val="en-US"/>
        </w:rPr>
        <w:t xml:space="preserve">condensation of </w:t>
      </w:r>
      <w:r w:rsidR="004034F7" w:rsidRPr="002A6BF2">
        <w:rPr>
          <w:lang w:val="en-US"/>
        </w:rPr>
        <w:t>c</w:t>
      </w:r>
      <w:r w:rsidRPr="002A6BF2">
        <w:rPr>
          <w:lang w:val="en-US"/>
        </w:rPr>
        <w:t>o</w:t>
      </w:r>
      <w:r w:rsidR="004034F7" w:rsidRPr="002A6BF2">
        <w:rPr>
          <w:lang w:val="en-US"/>
        </w:rPr>
        <w:t xml:space="preserve">enzyme </w:t>
      </w:r>
      <w:r w:rsidRPr="002A6BF2">
        <w:rPr>
          <w:lang w:val="en-US"/>
        </w:rPr>
        <w:t>A</w:t>
      </w:r>
      <w:r w:rsidR="004034F7" w:rsidRPr="002A6BF2">
        <w:rPr>
          <w:lang w:val="en-US"/>
        </w:rPr>
        <w:t xml:space="preserve"> (CoA)</w:t>
      </w:r>
      <w:r w:rsidRPr="002A6BF2">
        <w:rPr>
          <w:lang w:val="en-US"/>
        </w:rPr>
        <w:t xml:space="preserve"> esters</w:t>
      </w:r>
      <w:r w:rsidR="00F211EE" w:rsidRPr="002A6BF2">
        <w:rPr>
          <w:lang w:val="en-US"/>
        </w:rPr>
        <w:t xml:space="preserve"> by type III</w:t>
      </w:r>
      <w:r w:rsidR="00706ADF" w:rsidRPr="002A6BF2">
        <w:rPr>
          <w:lang w:val="en-US"/>
        </w:rPr>
        <w:t xml:space="preserve"> </w:t>
      </w:r>
      <w:r w:rsidR="00C05102" w:rsidRPr="002A6BF2">
        <w:rPr>
          <w:lang w:val="en-US"/>
        </w:rPr>
        <w:t xml:space="preserve">PKS </w:t>
      </w:r>
      <w:r w:rsidR="00706ADF" w:rsidRPr="002A6BF2">
        <w:rPr>
          <w:lang w:val="en-US"/>
        </w:rPr>
        <w:fldChar w:fldCharType="begin" w:fldLock="1"/>
      </w:r>
      <w:r w:rsidR="008B25D4" w:rsidRPr="002A6BF2">
        <w:rPr>
          <w:lang w:val="en-US"/>
        </w:rPr>
        <w:instrText>ADDIN CSL_CITATION {"citationItems":[{"id":"ITEM-1","itemData":{"DOI":"10.3389/fpls.2021.746908","abstract":"Plants produce interesting secondary metabolites that are a valuable source of both medicines for human use, along with significant advantages for the manufacturer species. The active compounds which lead to these instrumental effects are generally secondary metabolites produced during various plant growth phases, which provide the host survival advantages while affecting human health inadvertently. Different chemical classes of secondary metabolites are biosynthesized by the plant type III polyketide synthases (PKSs). They are simple homodimeric proteins with the unique mechanistic potential to produce a broad array of secondary metabolites by utilizing simpler starter and extender units. These PKS derived products are majorly the precursors of some important secondary metabolite pathways leading to products such as flavonoids, stilbenes, benzalacetones, chromones, acridones, xanthones, cannabinoids, aliphatic waxes, alkaloids, anthrones, and pyrones. These secondary metabolites have various pharmaceutical, medicinal and industrial applications which make biosynthesizing type III PKSs an important tool for bioengineering purposes. Because of their structural simplicity and ease of manipulation, these enzymes have garnered interest in recent years due to their application in the generation of unnatural natural polyketides and modified products in the search for newer drugs for a variety of health problems. The following review covers the biosynthesis of a variety of type III PKS-derived secondary metabolites, their biological relevance, the associated enzymes, and recent research.","author":[{"dropping-particle":"","family":"Bisht","given":"Renu","non-dropping-particle":"","parse-names":false,"suffix":""},{"dropping-particle":"","family":"Bhattacharyya","given":"Aniket","non-dropping-particle":"","parse-names":false,"suffix":""},{"dropping-particle":"","family":"Shrivastava","given":"Ankita","non-dropping-particle":"","parse-names":false,"suffix":""},{"dropping-particle":"","family":"Saxena","given":"Priti","non-dropping-particle":"","parse-names":false,"suffix":""}],"container-title":"Frontiers in Plant Science","id":"ITEM-1","issue":"October","issued":{"date-parts":[["2021"]]},"page":"1-21","title":"An Overview of the Medicinally Important Plant Type III PKS Derived Polyketides","type":"article-journal","volume":"12"},"uris":["http://www.mendeley.com/documents/?uuid=bb5bd935-6881-4f83-9161-1256687d33ac"]},{"id":"ITEM-2","itemData":{"DOI":"10.1016/b978-008045382-8.00022-8","ISBN":"9780080453828","author":[{"dropping-particle":"","family":"Morita","given":"Hiroyuki","non-dropping-particle":"","parse-names":false,"suffix":""},{"dropping-particle":"","family":"Abe","given":"Ikuro","non-dropping-particle":"","parse-names":false,"suffix":""},{"dropping-particle":"","family":"Noguchi","given":"Hiroshi","non-dropping-particle":"","parse-names":false,"suffix":""}],"container-title":"Comprehensive Natural Products II: Chemistry and Biology","id":"ITEM-2","issued":{"date-parts":[["2010"]]},"page":"171-225","title":"Plant type III PKS","type":"article-journal","volume":"1"},"uris":["http://www.mendeley.com/documents/?uuid=b48ee764-dfec-4b56-8ffd-b3debb5787d7"]}],"mendeley":{"formattedCitation":"(Bisht et al., 2021; Morita et al., 2010)","plainTextFormattedCitation":"(Bisht et al., 2021; Morita et al., 2010)","previouslyFormattedCitation":"(Bisht et al., 2021; Morita et al., 2010)"},"properties":{"noteIndex":0},"schema":"https://github.com/citation-style-language/schema/raw/master/csl-citation.json"}</w:instrText>
      </w:r>
      <w:r w:rsidR="00706ADF" w:rsidRPr="002A6BF2">
        <w:rPr>
          <w:lang w:val="en-US"/>
        </w:rPr>
        <w:fldChar w:fldCharType="separate"/>
      </w:r>
      <w:r w:rsidR="002A15C2" w:rsidRPr="002A6BF2">
        <w:rPr>
          <w:noProof/>
          <w:lang w:val="en-US"/>
        </w:rPr>
        <w:t>(Bisht et al., 2021; Morita et al., 2010)</w:t>
      </w:r>
      <w:r w:rsidR="00706ADF" w:rsidRPr="002A6BF2">
        <w:rPr>
          <w:lang w:val="en-US"/>
        </w:rPr>
        <w:fldChar w:fldCharType="end"/>
      </w:r>
      <w:r w:rsidRPr="002A6BF2">
        <w:rPr>
          <w:lang w:val="en-US"/>
        </w:rPr>
        <w:t xml:space="preserve">. </w:t>
      </w:r>
      <w:r w:rsidR="00191B64" w:rsidRPr="002A6BF2">
        <w:rPr>
          <w:lang w:val="en-US"/>
        </w:rPr>
        <w:t>High-</w:t>
      </w:r>
      <w:r w:rsidR="00781202" w:rsidRPr="002A6BF2">
        <w:rPr>
          <w:lang w:val="en-US"/>
        </w:rPr>
        <w:t>value</w:t>
      </w:r>
      <w:r w:rsidR="00EE6FB0" w:rsidRPr="002A6BF2">
        <w:rPr>
          <w:lang w:val="en-US"/>
        </w:rPr>
        <w:t xml:space="preserve"> </w:t>
      </w:r>
      <w:r w:rsidR="00F454EC" w:rsidRPr="002A6BF2">
        <w:rPr>
          <w:lang w:val="en-US"/>
        </w:rPr>
        <w:t xml:space="preserve">polyketides </w:t>
      </w:r>
      <w:r w:rsidR="008F7CAE" w:rsidRPr="002A6BF2">
        <w:rPr>
          <w:lang w:val="en-US"/>
        </w:rPr>
        <w:t>like stilben</w:t>
      </w:r>
      <w:r w:rsidR="004034F7" w:rsidRPr="002A6BF2">
        <w:rPr>
          <w:lang w:val="en-US"/>
        </w:rPr>
        <w:t>oids</w:t>
      </w:r>
      <w:r w:rsidR="008F7CAE" w:rsidRPr="002A6BF2">
        <w:rPr>
          <w:lang w:val="en-US"/>
        </w:rPr>
        <w:t xml:space="preserve"> are </w:t>
      </w:r>
      <w:r w:rsidR="0053737C" w:rsidRPr="002A6BF2">
        <w:rPr>
          <w:lang w:val="en-US"/>
        </w:rPr>
        <w:t>synthesized</w:t>
      </w:r>
      <w:r w:rsidR="008F7CAE" w:rsidRPr="002A6BF2">
        <w:rPr>
          <w:lang w:val="en-US"/>
        </w:rPr>
        <w:t xml:space="preserve"> </w:t>
      </w:r>
      <w:r w:rsidR="00EB5EAD" w:rsidRPr="002A6BF2">
        <w:rPr>
          <w:lang w:val="en-US"/>
        </w:rPr>
        <w:t>by stilbene synthases (STS) with</w:t>
      </w:r>
      <w:r w:rsidR="008F7CAE" w:rsidRPr="002A6BF2">
        <w:rPr>
          <w:lang w:val="en-US"/>
        </w:rPr>
        <w:t xml:space="preserve"> </w:t>
      </w:r>
      <w:r w:rsidR="00457BCD" w:rsidRPr="002A6BF2">
        <w:rPr>
          <w:lang w:val="en-US"/>
        </w:rPr>
        <w:t>CoA-</w:t>
      </w:r>
      <w:r w:rsidR="008F7CAE" w:rsidRPr="002A6BF2">
        <w:rPr>
          <w:lang w:val="en-US"/>
        </w:rPr>
        <w:t>bound phenylpropanoid</w:t>
      </w:r>
      <w:r w:rsidR="00457BCD" w:rsidRPr="002A6BF2">
        <w:rPr>
          <w:lang w:val="en-US"/>
        </w:rPr>
        <w:t>s</w:t>
      </w:r>
      <w:r w:rsidR="00EE6FB0" w:rsidRPr="002A6BF2">
        <w:rPr>
          <w:lang w:val="en-US"/>
        </w:rPr>
        <w:t xml:space="preserve"> </w:t>
      </w:r>
      <w:r w:rsidR="008F7CAE" w:rsidRPr="002A6BF2">
        <w:rPr>
          <w:lang w:val="en-US"/>
        </w:rPr>
        <w:t>as</w:t>
      </w:r>
      <w:r w:rsidR="00EE6FB0" w:rsidRPr="002A6BF2">
        <w:rPr>
          <w:lang w:val="en-US"/>
        </w:rPr>
        <w:t xml:space="preserve"> starter unit</w:t>
      </w:r>
      <w:r w:rsidR="00457BCD" w:rsidRPr="002A6BF2">
        <w:rPr>
          <w:lang w:val="en-US"/>
        </w:rPr>
        <w:t>s,</w:t>
      </w:r>
      <w:r w:rsidR="00EE6FB0" w:rsidRPr="002A6BF2">
        <w:rPr>
          <w:lang w:val="en-US"/>
        </w:rPr>
        <w:t xml:space="preserve"> which </w:t>
      </w:r>
      <w:r w:rsidR="00457BCD" w:rsidRPr="002A6BF2">
        <w:rPr>
          <w:lang w:val="en-US"/>
        </w:rPr>
        <w:t>are</w:t>
      </w:r>
      <w:r w:rsidR="00EE6FB0" w:rsidRPr="002A6BF2">
        <w:rPr>
          <w:lang w:val="en-US"/>
        </w:rPr>
        <w:t xml:space="preserve"> extended by </w:t>
      </w:r>
      <w:r w:rsidR="00191B64" w:rsidRPr="002A6BF2">
        <w:rPr>
          <w:lang w:val="en-US"/>
        </w:rPr>
        <w:t xml:space="preserve">three </w:t>
      </w:r>
      <w:r w:rsidR="00EE6FB0" w:rsidRPr="002A6BF2">
        <w:rPr>
          <w:lang w:val="en-US"/>
        </w:rPr>
        <w:t>malonyl-CoA</w:t>
      </w:r>
      <w:r w:rsidR="00E7177B" w:rsidRPr="002A6BF2">
        <w:rPr>
          <w:lang w:val="en-US"/>
        </w:rPr>
        <w:t xml:space="preserve"> (also called MaCoA)</w:t>
      </w:r>
      <w:r w:rsidR="00191B64" w:rsidRPr="002A6BF2">
        <w:rPr>
          <w:lang w:val="en-US"/>
        </w:rPr>
        <w:t xml:space="preserve"> molecules</w:t>
      </w:r>
      <w:r w:rsidR="00EE6FB0" w:rsidRPr="002A6BF2">
        <w:rPr>
          <w:lang w:val="en-US"/>
        </w:rPr>
        <w:t xml:space="preserve"> to form a tetraketide intermediate, followed by a </w:t>
      </w:r>
      <w:r w:rsidR="00113C16" w:rsidRPr="002A6BF2">
        <w:rPr>
          <w:lang w:val="en-US"/>
        </w:rPr>
        <w:t xml:space="preserve">C2→C7 aldol </w:t>
      </w:r>
      <w:r w:rsidR="00EE6FB0" w:rsidRPr="002A6BF2">
        <w:rPr>
          <w:lang w:val="en-US"/>
        </w:rPr>
        <w:t xml:space="preserve">condensation </w:t>
      </w:r>
      <w:r w:rsidR="00702E9D" w:rsidRPr="002A6BF2">
        <w:rPr>
          <w:lang w:val="en-US"/>
        </w:rPr>
        <w:t>reaction</w:t>
      </w:r>
      <w:r w:rsidR="006822D3" w:rsidRPr="002A6BF2">
        <w:rPr>
          <w:lang w:val="en-US"/>
        </w:rPr>
        <w:t xml:space="preserve"> </w:t>
      </w:r>
      <w:r w:rsidR="00A400D8" w:rsidRPr="002A6BF2">
        <w:rPr>
          <w:lang w:val="en-US"/>
        </w:rPr>
        <w:t>for aromatic ring formation</w:t>
      </w:r>
      <w:r w:rsidR="00556028" w:rsidRPr="002A6BF2">
        <w:rPr>
          <w:lang w:val="en-US"/>
        </w:rPr>
        <w:t>.</w:t>
      </w:r>
      <w:r w:rsidR="00EE6FB0" w:rsidRPr="002A6BF2">
        <w:rPr>
          <w:lang w:val="en-US"/>
        </w:rPr>
        <w:t xml:space="preserve"> Pinosylvin</w:t>
      </w:r>
      <w:r w:rsidR="00F23192" w:rsidRPr="002A6BF2">
        <w:rPr>
          <w:lang w:val="en-US"/>
        </w:rPr>
        <w:t xml:space="preserve"> (</w:t>
      </w:r>
      <w:r w:rsidR="00F23192" w:rsidRPr="002A6BF2">
        <w:rPr>
          <w:i/>
          <w:iCs/>
          <w:lang w:val="en-US"/>
        </w:rPr>
        <w:t>trans</w:t>
      </w:r>
      <w:r w:rsidR="00F23192" w:rsidRPr="002A6BF2">
        <w:rPr>
          <w:lang w:val="en-US"/>
        </w:rPr>
        <w:t>-3,5-dihydroxystilbene)</w:t>
      </w:r>
      <w:r w:rsidR="00EE6FB0" w:rsidRPr="002A6BF2">
        <w:rPr>
          <w:lang w:val="en-US"/>
        </w:rPr>
        <w:t xml:space="preserve"> and resveratrol</w:t>
      </w:r>
      <w:r w:rsidR="00F23192" w:rsidRPr="002A6BF2">
        <w:rPr>
          <w:lang w:val="en-US"/>
        </w:rPr>
        <w:t xml:space="preserve"> (</w:t>
      </w:r>
      <w:r w:rsidR="00F23192" w:rsidRPr="002A6BF2">
        <w:rPr>
          <w:i/>
          <w:iCs/>
          <w:lang w:val="en-US"/>
        </w:rPr>
        <w:t>trans</w:t>
      </w:r>
      <w:r w:rsidR="00F23192" w:rsidRPr="002A6BF2">
        <w:rPr>
          <w:lang w:val="en-US"/>
        </w:rPr>
        <w:t>-3,5</w:t>
      </w:r>
      <w:r w:rsidR="002947A2" w:rsidRPr="002A6BF2">
        <w:rPr>
          <w:lang w:val="en-US"/>
        </w:rPr>
        <w:t>,4’</w:t>
      </w:r>
      <w:r w:rsidR="00F23192" w:rsidRPr="002A6BF2">
        <w:rPr>
          <w:lang w:val="en-US"/>
        </w:rPr>
        <w:t>-trihydroxystil</w:t>
      </w:r>
      <w:r w:rsidR="00F23192" w:rsidRPr="002A6BF2">
        <w:rPr>
          <w:lang w:val="en-US"/>
        </w:rPr>
        <w:lastRenderedPageBreak/>
        <w:t>bene)</w:t>
      </w:r>
      <w:r w:rsidR="00EE6FB0" w:rsidRPr="002A6BF2">
        <w:rPr>
          <w:lang w:val="en-US"/>
        </w:rPr>
        <w:t xml:space="preserve"> are made from cinn</w:t>
      </w:r>
      <w:r w:rsidR="00F23192" w:rsidRPr="002A6BF2">
        <w:rPr>
          <w:lang w:val="en-US"/>
        </w:rPr>
        <w:t>a</w:t>
      </w:r>
      <w:r w:rsidR="00EE6FB0" w:rsidRPr="002A6BF2">
        <w:rPr>
          <w:lang w:val="en-US"/>
        </w:rPr>
        <w:t xml:space="preserve">moyl-CoA </w:t>
      </w:r>
      <w:r w:rsidR="004034F7" w:rsidRPr="002A6BF2">
        <w:rPr>
          <w:lang w:val="en-US"/>
        </w:rPr>
        <w:t xml:space="preserve">or </w:t>
      </w:r>
      <w:r w:rsidR="00EE6FB0" w:rsidRPr="002A6BF2">
        <w:rPr>
          <w:i/>
          <w:lang w:val="en-US"/>
        </w:rPr>
        <w:t>p</w:t>
      </w:r>
      <w:r w:rsidR="00EE6FB0" w:rsidRPr="002A6BF2">
        <w:rPr>
          <w:lang w:val="en-US"/>
        </w:rPr>
        <w:t>-coumaroyl-CoA</w:t>
      </w:r>
      <w:r w:rsidRPr="002A6BF2">
        <w:rPr>
          <w:lang w:val="en-US"/>
        </w:rPr>
        <w:t xml:space="preserve"> as starter</w:t>
      </w:r>
      <w:r w:rsidR="00702E9D" w:rsidRPr="002A6BF2">
        <w:rPr>
          <w:lang w:val="en-US"/>
        </w:rPr>
        <w:t xml:space="preserve"> molecules</w:t>
      </w:r>
      <w:r w:rsidR="008F7CAE" w:rsidRPr="002A6BF2">
        <w:rPr>
          <w:lang w:val="en-US"/>
        </w:rPr>
        <w:t>,</w:t>
      </w:r>
      <w:r w:rsidR="00EE6FB0" w:rsidRPr="002A6BF2">
        <w:rPr>
          <w:lang w:val="en-US"/>
        </w:rPr>
        <w:t xml:space="preserve"> respectively</w:t>
      </w:r>
      <w:r w:rsidR="00706ADF" w:rsidRPr="002A6BF2">
        <w:rPr>
          <w:lang w:val="en-US"/>
        </w:rPr>
        <w:t xml:space="preserve"> </w:t>
      </w:r>
      <w:r w:rsidR="00706ADF" w:rsidRPr="002A6BF2">
        <w:rPr>
          <w:lang w:val="en-US"/>
        </w:rPr>
        <w:fldChar w:fldCharType="begin" w:fldLock="1"/>
      </w:r>
      <w:r w:rsidR="00706ADF" w:rsidRPr="002A6BF2">
        <w:rPr>
          <w:lang w:val="en-US"/>
        </w:rPr>
        <w:instrText>ADDIN CSL_CITATION {"citationItems":[{"id":"ITEM-1","itemData":{"DOI":"10.1039/d0np00030b","ISSN":"0265-0568","abstract":"Although constituting a limited chemical family, phytostilbenes represent an emblematic group of molecules among natural compounds.Covering: 1976 to 2020.Although constituting a limited chemical family, phytostilbenes represent an emblematic group of molecules among natural compounds. Ever since their discovery as antifungal compounds in plants and their ascribed role in human health and disease, phytostilbenes have never ceased to arouse interest for researchers, leading to a huge development of the literature in this field. Owing to this, the number of references to this class of compounds has reached the tens of thousands. The objective of this article is thus to offer an overview of the different aspects of these compounds through a large bibliography analysis of more than 500 articles. All the aspects regarding phytostilbenes will be covered including their chemistry and biochemistry, regulation of their biosynthesis, biological activities in plants, molecular engineering of stilbene pathways in plants and microbes as well as their biotechnological production by plant cell systems.","author":[{"dropping-particle":"","family":"Jeandet","given":"Philippe","non-dropping-particle":"","parse-names":false,"suffix":""},{"dropping-particle":"","family":"Vannozzi","given":"Alessandro","non-dropping-particle":"","parse-names":false,"suffix":""},{"dropping-particle":"","family":"Sobarzo-Sánchez","given":"Eduardo","non-dropping-particle":"","parse-names":false,"suffix":""},{"dropping-particle":"","family":"Uddin","given":"Md. Sahab","non-dropping-particle":"","parse-names":false,"suffix":""},{"dropping-particle":"","family":"Bru","given":"Roque","non-dropping-particle":"","parse-names":false,"suffix":""},{"dropping-particle":"","family":"Martínez-Márquez","given":"Ascension","non-dropping-particle":"","parse-names":false,"suffix":""},{"dropping-particle":"","family":"Clément","given":"Christophe","non-dropping-particle":"","parse-names":false,"suffix":""},{"dropping-particle":"","family":"Cordelier","given":"Sylvain","non-dropping-particle":"","parse-names":false,"suffix":""},{"dropping-particle":"","family":"Manayi","given":"Azadeh","non-dropping-particle":"","parse-names":false,"suffix":""},{"dropping-particle":"","family":"Nabavi","given":"Seyed Fazel","non-dropping-particle":"","parse-names":false,"suffix":""},{"dropping-particle":"","family":"Rasekhian","given":"Mahsa","non-dropping-particle":"","parse-names":false,"suffix":""},{"dropping-particle":"","family":"El-Saber Batiha","given":"Gaber","non-dropping-particle":"","parse-names":false,"suffix":""},{"dropping-particle":"","family":"Khan","given":"Haroon","non-dropping-particle":"","parse-names":false,"suffix":""},{"dropping-particle":"","family":"Morkunas","given":"Iwona","non-dropping-particle":"","parse-names":false,"suffix":""},{"dropping-particle":"","family":"Belwal","given":"Tarun","non-dropping-particle":"","parse-names":false,"suffix":""},{"dropping-particle":"","family":"Jiang","given":"Jingjie","non-dropping-particle":"","parse-names":false,"suffix":""},{"dropping-particle":"","family":"Koffas","given":"Mattheos","non-dropping-particle":"","parse-names":false,"suffix":""},{"dropping-particle":"","family":"Nabavi","given":"Seyed Mohammad","non-dropping-particle":"","parse-names":false,"suffix":""}],"container-title":"Natural Product Reports","id":"ITEM-1","issued":{"date-parts":[["2021"]]},"page":"1282-1329","title":"Phytostilbenes as agrochemicals: biosynthesis, bioactivity, metabolic engineering and biotechnology","type":"article-journal","volume":"38"},"uris":["http://www.mendeley.com/documents/?uuid=e3ad57de-2bf7-48f8-9b9d-dede17716e1d"]}],"mendeley":{"formattedCitation":"(Jeandet et al., 2021)","plainTextFormattedCitation":"(Jeandet et al., 2021)","previouslyFormattedCitation":"(Jeandet et al., 2021)"},"properties":{"noteIndex":0},"schema":"https://github.com/citation-style-language/schema/raw/master/csl-citation.json"}</w:instrText>
      </w:r>
      <w:r w:rsidR="00706ADF" w:rsidRPr="002A6BF2">
        <w:rPr>
          <w:lang w:val="en-US"/>
        </w:rPr>
        <w:fldChar w:fldCharType="separate"/>
      </w:r>
      <w:r w:rsidR="00706ADF" w:rsidRPr="002A6BF2">
        <w:rPr>
          <w:noProof/>
          <w:lang w:val="en-US"/>
        </w:rPr>
        <w:t>(Jeandet et al., 2021)</w:t>
      </w:r>
      <w:r w:rsidR="00706ADF" w:rsidRPr="002A6BF2">
        <w:rPr>
          <w:lang w:val="en-US"/>
        </w:rPr>
        <w:fldChar w:fldCharType="end"/>
      </w:r>
      <w:r w:rsidR="00EE6FB0" w:rsidRPr="002A6BF2">
        <w:rPr>
          <w:lang w:val="en-US"/>
        </w:rPr>
        <w:t>.</w:t>
      </w:r>
      <w:r w:rsidR="00F23192" w:rsidRPr="002A6BF2">
        <w:rPr>
          <w:lang w:val="en-US"/>
        </w:rPr>
        <w:t xml:space="preserve"> </w:t>
      </w:r>
      <w:r w:rsidRPr="002A6BF2">
        <w:rPr>
          <w:lang w:val="en-US"/>
        </w:rPr>
        <w:t xml:space="preserve">Other polyketides are exclusively </w:t>
      </w:r>
      <w:r w:rsidR="00556028" w:rsidRPr="002A6BF2">
        <w:rPr>
          <w:lang w:val="en-US"/>
        </w:rPr>
        <w:t>synthesized</w:t>
      </w:r>
      <w:r w:rsidRPr="002A6BF2">
        <w:rPr>
          <w:lang w:val="en-US"/>
        </w:rPr>
        <w:t xml:space="preserve"> from malonyl-CoA </w:t>
      </w:r>
      <w:r w:rsidR="00322A44" w:rsidRPr="002A6BF2">
        <w:rPr>
          <w:lang w:val="en-US"/>
        </w:rPr>
        <w:t xml:space="preserve">like the colorant flaviolin which is made </w:t>
      </w:r>
      <w:r w:rsidRPr="002A6BF2">
        <w:rPr>
          <w:lang w:val="en-US"/>
        </w:rPr>
        <w:t>by 1,3,6,8</w:t>
      </w:r>
      <w:r w:rsidRPr="002A6BF2">
        <w:rPr>
          <w:lang w:val="en-US"/>
        </w:rPr>
        <w:noBreakHyphen/>
        <w:t>tetrahydroxynaphthalene synthase</w:t>
      </w:r>
      <w:r w:rsidR="009B5F8C" w:rsidRPr="002A6BF2">
        <w:rPr>
          <w:lang w:val="en-US"/>
        </w:rPr>
        <w:t xml:space="preserve"> (THNS)</w:t>
      </w:r>
      <w:r w:rsidRPr="002A6BF2">
        <w:rPr>
          <w:lang w:val="en-US"/>
        </w:rPr>
        <w:t xml:space="preserve"> and subsequent spontaneous oxidation</w:t>
      </w:r>
      <w:r w:rsidR="00706ADF" w:rsidRPr="002A6BF2">
        <w:rPr>
          <w:lang w:val="en-US"/>
        </w:rPr>
        <w:t xml:space="preserve"> </w:t>
      </w:r>
      <w:r w:rsidR="00706ADF" w:rsidRPr="002A6BF2">
        <w:rPr>
          <w:lang w:val="en-US"/>
        </w:rPr>
        <w:fldChar w:fldCharType="begin" w:fldLock="1"/>
      </w:r>
      <w:r w:rsidR="002A15C2" w:rsidRPr="002A6BF2">
        <w:rPr>
          <w:lang w:val="en-US"/>
        </w:rPr>
        <w:instrText>ADDIN CSL_CITATION {"citationItems":[{"id":"ITEM-1","itemData":{"DOI":"10.1038/23748","ISSN":"00280836","PMID":"10476972","abstract":"Chalcone synthases, which biosynthesize chalcones (the starting materials for many flavonoids), have been believed to be specific to plants. However, the rppA gene from the Gram-positive, soil-living filamentous bacterium Streptomyces griseus encodes a 372-amino-acid protein that shows significant similarity to chalcone synthases. Several rppA-like genes are known, but their functions and catalytic properties have not been described. Here we show that a homodimer of RppA catalyses polyketide synthesis: it selects malonyl-coenzyme-A as the starter, carries out four successive extensions and releases the resulting pentaketide to cyclize to 1,3,6,8- tetrahydroxynaphthalene (THN). Site-directed mutagenesis revealed that, as in other chalcone synthases, a cysteine residue is essential for enzyme activity. Disruption of the chromosomal rppA gene in S. griseus abolished melanin production in hyphae, resulting in 'albino' mycelium. THN was readily oxidized to form 2,5,7-trihydroxy-1,4-naphthoquinone (flaviolin), which then randomly polymerized to form various coloured compounds. THN formed by RppA appears to be an intermediate in the biosynthetic pathways for not only melanins but also various secondary metabolites containing a naphthoquinone ring. Therefore, RppA is a chalcone-synthase-related synthase that synthesizes polyketides and is found in the Streptomyces and other bacteria.","author":[{"dropping-particle":"","family":"Funa","given":"Nobutaka","non-dropping-particle":"","parse-names":false,"suffix":""},{"dropping-particle":"","family":"Ohnishi","given":"Yasuo","non-dropping-particle":"","parse-names":false,"suffix":""},{"dropping-particle":"","family":"Fujli","given":"Isao","non-dropping-particle":"","parse-names":false,"suffix":""},{"dropping-particle":"","family":"Shibuya","given":"Masaaki","non-dropping-particle":"","parse-names":false,"suffix":""},{"dropping-particle":"","family":"Ebizuka","given":"Yutaka","non-dropping-particle":"","parse-names":false,"suffix":""},{"dropping-particle":"","family":"Horinouchi","given":"Sueharu","non-dropping-particle":"","parse-names":false,"suffix":""}],"container-title":"Nature","id":"ITEM-1","issue":"6747","issued":{"date-parts":[["1999"]]},"page":"897-899","title":"A new pathway for polyketide synthesis in microorganisms","type":"article-journal","volume":"400"},"uris":["http://www.mendeley.com/documents/?uuid=5899308e-6c70-4e20-be58-a80dc63685f2"]},{"id":"ITEM-2","itemData":{"DOI":"10.1073/pnas.1808567115","ISSN":"0027-8424","abstract":"Malonyl-CoA is an important central metabolite for the production of diverse valuable chemicals including natural products, but its intracellular availability is often limited due to the competition with essential cellular metabolism. Several malonyl-CoA biosensors have been developed for high-throughput screening of targets increasing the malonyl-CoA pool. However, they are limited for use only in Escherichia coli and Saccharomyces cerevisiae and require multiple signal transduction steps. Here we report development of a colorimetric malonyl-CoA biosensor applicable in three industrially important bacteria: E. coli , Pseudomonas putida , and Corynebacterium glutamicum . RppA, a type III polyketide synthase producing red-colored flaviolin, was repurposed as a malonyl-CoA biosensor in E. coli . Strains with enhanced malonyl-CoA accumulation were identifiable by the colorimetric screening of cells showing increased red color. Other type III polyketide synthases could also be repurposed as malonyl-CoA biosensors. For target screening, a 1,858 synthetic small regulatory RNA library was constructed and applied to find 14 knockdown gene targets that generally enhanced malonyl-CoA level in E. coli . These knockdown targets were applied to produce two polyketide (6-methylsalicylic acid and aloesone) and two phenylpropanoid (resveratrol and naringenin) compounds. Knocking down these genes alone or in combination, and also in multiple different E. coli strains for two polyketide cases, allowed rapid development of engineered strains capable of enhanced production of 6-methylsalicylic acid, aloesone, resveratrol, and naringenin to 440.3, 30.9, 51.8, and 103.8 mg/L, respectively. The malonyl-CoA biosensor developed here is a simple tool generally applicable to metabolic engineering of microorganisms to achieve enhanced production of malonyl-CoA–derived chemicals.","author":[{"dropping-particle":"","family":"Yang","given":"Dongsoo","non-dropping-particle":"","parse-names":false,"suffix":""},{"dropping-particle":"","family":"Kim","given":"Won Jun","non-dropping-particle":"","parse-names":false,"suffix":""},{"dropping-particle":"","family":"Yoo","given":"Seung Min","non-dropping-particle":"","parse-names":false,"suffix":""},{"dropping-particle":"","family":"Choi","given":"Jong Hyun","non-dropping-particle":"","parse-names":false,"suffix":""},{"dropping-particle":"","family":"Ha","given":"Shin Hee","non-dropping-particle":"","parse-names":false,"suffix":""},{"dropping-particle":"","family":"Lee","given":"Mun Hee","non-dropping-particle":"","parse-names":false,"suffix":""},{"dropping-particle":"","family":"Lee","given":"Sang Yup","non-dropping-particle":"","parse-names":false,"suffix":""}],"container-title":"Proceedings of the National Academy of Sciences","id":"ITEM-2","issue":"40","issued":{"date-parts":[["2018","10","2"]]},"note":"254nm for flaviolin detection in HPLC","page":"9835-9844","title":"Repurposing type III polyketide synthase as a malonyl-CoA biosensor for metabolic engineering in bacteria","type":"article-journal","volume":"115"},"uris":["http://www.mendeley.com/documents/?uuid=55ee17eb-36f2-43b7-a6c6-5c2f15701d78"]}],"mendeley":{"formattedCitation":"(Funa et al., 1999; D. Yang et al., 2018)","plainTextFormattedCitation":"(Funa et al., 1999; D. Yang et al., 2018)","previouslyFormattedCitation":"(Funa et al., 1999; D. Yang et al., 2018)"},"properties":{"noteIndex":0},"schema":"https://github.com/citation-style-language/schema/raw/master/csl-citation.json"}</w:instrText>
      </w:r>
      <w:r w:rsidR="00706ADF" w:rsidRPr="002A6BF2">
        <w:rPr>
          <w:lang w:val="en-US"/>
        </w:rPr>
        <w:fldChar w:fldCharType="separate"/>
      </w:r>
      <w:r w:rsidR="00706ADF" w:rsidRPr="002A6BF2">
        <w:rPr>
          <w:noProof/>
          <w:lang w:val="en-US"/>
        </w:rPr>
        <w:t>(Funa et al., 1999; D. Yang et al., 2018)</w:t>
      </w:r>
      <w:r w:rsidR="00706ADF" w:rsidRPr="002A6BF2">
        <w:rPr>
          <w:lang w:val="en-US"/>
        </w:rPr>
        <w:fldChar w:fldCharType="end"/>
      </w:r>
      <w:r w:rsidRPr="002A6BF2">
        <w:rPr>
          <w:lang w:val="en-US"/>
        </w:rPr>
        <w:t xml:space="preserve">. </w:t>
      </w:r>
      <w:r w:rsidR="008F7CAE" w:rsidRPr="002A6BF2">
        <w:rPr>
          <w:lang w:val="en-US"/>
        </w:rPr>
        <w:t xml:space="preserve">Synthesis of these </w:t>
      </w:r>
      <w:r w:rsidR="00A932E3">
        <w:rPr>
          <w:lang w:val="en-US"/>
        </w:rPr>
        <w:t>secondary metabolites</w:t>
      </w:r>
      <w:r w:rsidR="00A932E3" w:rsidRPr="002A6BF2">
        <w:rPr>
          <w:lang w:val="en-US"/>
        </w:rPr>
        <w:t xml:space="preserve"> </w:t>
      </w:r>
      <w:r w:rsidR="008F7CAE" w:rsidRPr="002A6BF2">
        <w:rPr>
          <w:lang w:val="en-US"/>
        </w:rPr>
        <w:t xml:space="preserve">is often limited by </w:t>
      </w:r>
      <w:r w:rsidR="00F454EC" w:rsidRPr="002A6BF2">
        <w:rPr>
          <w:lang w:val="en-US"/>
        </w:rPr>
        <w:t xml:space="preserve">product toxicity and </w:t>
      </w:r>
      <w:r w:rsidR="008F7CAE" w:rsidRPr="002A6BF2">
        <w:rPr>
          <w:lang w:val="en-US"/>
        </w:rPr>
        <w:t>intracellular malonyl-CoA content of the host</w:t>
      </w:r>
      <w:r w:rsidR="001B4663" w:rsidRPr="002A6BF2">
        <w:rPr>
          <w:lang w:val="en-US"/>
        </w:rPr>
        <w:t xml:space="preserve"> </w:t>
      </w:r>
      <w:r w:rsidR="001B4663" w:rsidRPr="002A6BF2">
        <w:rPr>
          <w:lang w:val="en-US"/>
        </w:rPr>
        <w:fldChar w:fldCharType="begin" w:fldLock="1"/>
      </w:r>
      <w:r w:rsidR="005C0145" w:rsidRPr="002A6BF2">
        <w:rPr>
          <w:lang w:val="en-US"/>
        </w:rPr>
        <w:instrText>ADDIN CSL_CITATION {"citationItems":[{"id":"ITEM-1","itemData":{"DOI":"10.1128/AEM.02966-14","ISSN":"10985336","abstract":"Plant polyphenols are of great interest for drug discovery and drug development since many of these compounds have healthpromoting activities as treatments against various diseases, such as diabetes, cancer, or heart diseases. However, the limited availability of polyphenols represents a major obstacle to clinical applications that must be overcome. In comparison to the quantities of these compounds obtained by isolation from natural sources or costly chemical synthesis, the microbial production of these compounds could provide sufficient quantities from inexpensive substrates. In this work, we describe the development of an Escherichia coli platform strain for the production of pinosylvin, a stilbene found in the heartwood of pine trees which could aid in the treatment of various cancers and cardiovascular diseases. Initially, several configurations of the three-step biosynthetic pathway to pinosylvin were constructed from a set of two different enzymes for each enzymatic step. After optimization of gene expression and evaluation of different construct environments, low pinosylvin concentrations up to 3 mg/liter could be detected. Analysis of the precursor supply and a comparative analysis of the intracellular pools of pathway intermediates and product identified the limited malonyl coenzyme A (malonyl-CoA) availability and low stilbene synthase activity in the heterologous host to be the main bottlenecks during pinosylvin production. Addition of cerulenin for increasing intracellular malonyl-CoA pools and the in vivo evolution of the stilbene synthase from Pinus strobus for improved activity in E. coli proved to be the keys to elevated product titers. These measures allowed product titers of 70 mg/liter pinosylvin from glucose, which could be further increased to 91 mg/liter by the addition of L-phenylalanine.","author":[{"dropping-particle":"","family":"Summeren-Wesenhagen","given":"Philana Veronica","non-dropping-particle":"van","parse-names":false,"suffix":""},{"dropping-particle":"","family":"Marienhagen","given":"Jan","non-dropping-particle":"","parse-names":false,"suffix":""}],"container-title":"Applied and Environmental Microbiology","id":"ITEM-1","issue":"3","issued":{"date-parts":[["2015"]]},"page":"840-849","title":"Metabolic engineering of &lt;i&gt;Escherichia coli&lt;/i&gt; for the synthesis of the plant polyphenol pinosylvin","type":"article-journal","volume":"81"},"uris":["http://www.mendeley.com/documents/?uuid=1a3f8e0f-eccf-400b-822b-29a759088be3"]},{"id":"ITEM-2","itemData":{"DOI":"10.1007/s00253-018-8747-5","ISSN":"14320614","abstract":"Plants synthesize several thousand different polyphenols of which many have the potential to aid in preventing or treating cancer, cardiovascular, and neurodegenerative diseases. However, plants usually contain complex polyphenol mixtures impeding access to individual compounds in larger quantities. In contrast, functional integration of biosynthetic plant polyphenol pathways into microorganisms allows for the production of individual polyphenols as chemically distinct compounds, which can be synthesized in large amounts and can be more easily isolated. Over the last decade, microbial synthesis of many plant polyphenols could be achieved, and along the way, many decisive bottlenecks in the endogenous microbial host metabolism as well as in the heterologous plant pathways could be identified. In this review, we present recent advancements in metabolic engineering of microorganisms for the production of plant polyphenols and discuss how current challenges could be addressed in the future.","author":[{"dropping-particle":"","family":"Milke","given":"Lars","non-dropping-particle":"","parse-names":false,"suffix":""},{"dropping-particle":"","family":"Aschenbrenner","given":"Jennifer","non-dropping-particle":"","parse-names":false,"suffix":""},{"dropping-particle":"","family":"Marienhagen","given":"Jan","non-dropping-particle":"","parse-names":false,"suffix":""},{"dropping-particle":"","family":"Kallscheuer","given":"Nicolai","non-dropping-particle":"","parse-names":false,"suffix":""}],"container-title":"Applied Microbiology and Biotechnology","id":"ITEM-2","issue":"4","issued":{"date-parts":[["2018"]]},"page":"1575-1585","publisher":"Applied Microbiology and Biotechnology","title":"Production of plant-derived polyphenols in microorganisms: current state and perspectives","type":"article-journal","volume":"102"},"uris":["http://www.mendeley.com/documents/?uuid=29327809-93f0-4cd0-8694-bd82e44b429b"]}],"mendeley":{"formattedCitation":"(Milke et al., 2018; van Summeren-Wesenhagen &amp; Marienhagen, 2015)","plainTextFormattedCitation":"(Milke et al., 2018; van Summeren-Wesenhagen &amp; Marienhagen, 2015)","previouslyFormattedCitation":"(Milke et al., 2018; van Summeren-Wesenhagen &amp; Marienhagen, 2015)"},"properties":{"noteIndex":0},"schema":"https://github.com/citation-style-language/schema/raw/master/csl-citation.json"}</w:instrText>
      </w:r>
      <w:r w:rsidR="001B4663" w:rsidRPr="002A6BF2">
        <w:rPr>
          <w:lang w:val="en-US"/>
        </w:rPr>
        <w:fldChar w:fldCharType="separate"/>
      </w:r>
      <w:r w:rsidR="00B255F3" w:rsidRPr="002A6BF2">
        <w:rPr>
          <w:noProof/>
          <w:lang w:val="en-US"/>
        </w:rPr>
        <w:t>(Milke et al., 2018; van Summeren-Wesenhagen &amp; Marienhagen, 2015)</w:t>
      </w:r>
      <w:r w:rsidR="001B4663" w:rsidRPr="002A6BF2">
        <w:rPr>
          <w:lang w:val="en-US"/>
        </w:rPr>
        <w:fldChar w:fldCharType="end"/>
      </w:r>
      <w:r w:rsidR="008F7CAE" w:rsidRPr="002A6BF2">
        <w:rPr>
          <w:lang w:val="en-US"/>
        </w:rPr>
        <w:t xml:space="preserve">. </w:t>
      </w:r>
      <w:r w:rsidR="001108AC" w:rsidRPr="002A6BF2">
        <w:rPr>
          <w:lang w:val="en-US"/>
        </w:rPr>
        <w:t xml:space="preserve">The limiting malonyl-CoA supply </w:t>
      </w:r>
      <w:r w:rsidR="0058145A" w:rsidRPr="002A6BF2">
        <w:rPr>
          <w:lang w:val="en-US"/>
        </w:rPr>
        <w:t xml:space="preserve">is likely especially </w:t>
      </w:r>
      <w:r w:rsidR="001108AC" w:rsidRPr="002A6BF2">
        <w:rPr>
          <w:lang w:val="en-US"/>
        </w:rPr>
        <w:t xml:space="preserve">relevant </w:t>
      </w:r>
      <w:r w:rsidR="0058145A" w:rsidRPr="002A6BF2">
        <w:rPr>
          <w:lang w:val="en-US"/>
        </w:rPr>
        <w:t xml:space="preserve">for </w:t>
      </w:r>
      <w:r w:rsidR="0058145A" w:rsidRPr="002A6BF2">
        <w:rPr>
          <w:i/>
          <w:lang w:val="en-US"/>
        </w:rPr>
        <w:t xml:space="preserve">Pseudomonas </w:t>
      </w:r>
      <w:r w:rsidR="0058145A" w:rsidRPr="002A6BF2">
        <w:rPr>
          <w:lang w:val="en-US"/>
        </w:rPr>
        <w:t xml:space="preserve">due to the lower native CoA ester content compared to other species </w:t>
      </w:r>
      <w:r w:rsidR="0058145A" w:rsidRPr="002A6BF2">
        <w:rPr>
          <w:lang w:val="en-US"/>
        </w:rPr>
        <w:fldChar w:fldCharType="begin" w:fldLock="1"/>
      </w:r>
      <w:r w:rsidR="004B1408" w:rsidRPr="002A6BF2">
        <w:rPr>
          <w:lang w:val="en-US"/>
        </w:rPr>
        <w:instrText>ADDIN CSL_CITATION {"citationItems":[{"id":"ITEM-1","itemData":{"DOI":"10.1186/s12934-020-01413-1","ISBN":"1293402001","ISSN":"14752859","PMID":"32778124","abstract":"Background: Thioesters of coenzyme A participate in 5% of all enzymatic reactions. In microbial cell factories, they function as building blocks for products of recognized commercial value, including natural products such as polyketides, polyunsaturated fatty acids, biofuels, and biopolymers. A core spectrum of approximately 5-10 short chain thioesters is present in many microbes, as inferred from their genomic repertoire. The relevance of these metabolites explains the high interest to trace and quantify them in microbial cells. Results: Here, we describe a common workflow for extraction and absolute quantification of short chain CoA thioesters in different gram-positive and gram-negative bacteria and eukaryotic yeast, i.e. Corynebacterium glutamicum, Streptomyces albus, Pseudomonas putida, and Yarrowia lipolytica. The approach assessed intracellular CoA thioesters down to the picomolar level and exhibited high precision and reproducibility for all microbes, as shown by principal component analysis. Furthermore, it provided interesting insights into microbial CoA metabolism. A succinyl-CoA synthase defective mutant of C. glutamicum exhibited an unaffected level of succinyl-CoA that indicated a complete compensation by the l-lysine pathway to bypass the disrupted TCA cycle. Methylmalonyl-CoA, an important building block of high-value polyketides, was identified as dominant CoA thioester in the actinomycete S. albus. The microbe revealed a more than 10,000-fold difference in the abundance of intracellular CoA thioesters. A recombinant strain of S. albus, which produced different derivatives of the antituberculosis polyketide pamamycin, revealed a significant depletion of CoA thioesters of the ethylmalonyl CoA pathway, influencing product level and spectrum. Conclusions: The high relevance of short chain CoA thioesters to synthetize industrial products and the interesting insights gained from the examples shown in this work, suggest analyzing these metabolites in microbial cell factories more routinely than done so far. Due to its broad application range, the developed approach appears useful to be applied this purpose. Hereby, the possibility to use one single protocol promises to facilitate automatized efforts, which rely on standardized workflows.","author":[{"dropping-particle":"","family":"Gläser","given":"Lars","non-dropping-particle":"","parse-names":false,"suffix":""},{"dropping-particle":"","family":"Kuhl","given":"Martin","non-dropping-particle":"","parse-names":false,"suffix":""},{"dropping-particle":"","family":"Jovanovic","given":"Sofija","non-dropping-particle":"","parse-names":false,"suffix":""},{"dropping-particle":"","family":"Fritz","given":"Michel","non-dropping-particle":"","parse-names":false,"suffix":""},{"dropping-particle":"","family":"Vögeli","given":"Bastian","non-dropping-particle":"","parse-names":false,"suffix":""},{"dropping-particle":"","family":"Erb","given":"Tobias J.","non-dropping-particle":"","parse-names":false,"suffix":""},{"dropping-particle":"","family":"Becker","given":"Judith","non-dropping-particle":"","parse-names":false,"suffix":""},{"dropping-particle":"","family":"Wittmann","given":"Christoph","non-dropping-particle":"","parse-names":false,"suffix":""}],"container-title":"Microbial Cell Factories","id":"ITEM-1","issue":"1","issued":{"date-parts":[["2020"]]},"note":"in Streptomyces albus malonyl-CoA is about 10x more abundant than in other tested microorganisms.","page":"1-13","publisher":"BioMed Central","title":"A common approach for absolute quantification of short chain CoA thioesters in prokaryotic and eukaryotic microbes","type":"article-journal","volume":"19"},"uris":["http://www.mendeley.com/documents/?uuid=ce4ddd3a-862d-4f6f-ba07-c5ad572b4271"]}],"mendeley":{"formattedCitation":"(Gläser et al., 2020)","plainTextFormattedCitation":"(Gläser et al., 2020)","previouslyFormattedCitation":"(Gläser et al., 2020)"},"properties":{"noteIndex":0},"schema":"https://github.com/citation-style-language/schema/raw/master/csl-citation.json"}</w:instrText>
      </w:r>
      <w:r w:rsidR="0058145A" w:rsidRPr="002A6BF2">
        <w:rPr>
          <w:lang w:val="en-US"/>
        </w:rPr>
        <w:fldChar w:fldCharType="separate"/>
      </w:r>
      <w:r w:rsidR="0058145A" w:rsidRPr="002A6BF2">
        <w:rPr>
          <w:noProof/>
          <w:lang w:val="en-US"/>
        </w:rPr>
        <w:t>(Gläser et al., 2020)</w:t>
      </w:r>
      <w:r w:rsidR="0058145A" w:rsidRPr="002A6BF2">
        <w:rPr>
          <w:lang w:val="en-US"/>
        </w:rPr>
        <w:fldChar w:fldCharType="end"/>
      </w:r>
      <w:r w:rsidR="0058145A" w:rsidRPr="002A6BF2">
        <w:rPr>
          <w:lang w:val="en-US"/>
        </w:rPr>
        <w:t>.</w:t>
      </w:r>
    </w:p>
    <w:p w14:paraId="69743A6C" w14:textId="36C9F025" w:rsidR="0058145A" w:rsidRPr="002A6BF2" w:rsidRDefault="0058145A" w:rsidP="00B84A00">
      <w:pPr>
        <w:spacing w:line="276" w:lineRule="auto"/>
        <w:jc w:val="both"/>
        <w:rPr>
          <w:lang w:val="en-US"/>
        </w:rPr>
      </w:pPr>
      <w:r w:rsidRPr="002A6BF2">
        <w:rPr>
          <w:lang w:val="en-US"/>
        </w:rPr>
        <w:t>Malonyl-</w:t>
      </w:r>
      <w:r w:rsidR="004034F7" w:rsidRPr="002A6BF2">
        <w:rPr>
          <w:lang w:val="en-US"/>
        </w:rPr>
        <w:t>Co</w:t>
      </w:r>
      <w:r w:rsidRPr="002A6BF2">
        <w:rPr>
          <w:lang w:val="en-US"/>
        </w:rPr>
        <w:t xml:space="preserve">A is a central metabolite for fatty acid </w:t>
      </w:r>
      <w:r w:rsidRPr="002A6BF2">
        <w:rPr>
          <w:i/>
          <w:lang w:val="en-US"/>
        </w:rPr>
        <w:t>de novo</w:t>
      </w:r>
      <w:r w:rsidRPr="002A6BF2">
        <w:rPr>
          <w:lang w:val="en-US"/>
        </w:rPr>
        <w:t xml:space="preserve"> synthesis (FAS) and it serves as precursor for a plethora of secondary metabolites in diverse organisms </w:t>
      </w:r>
      <w:r w:rsidRPr="002A6BF2">
        <w:rPr>
          <w:lang w:val="en-US"/>
        </w:rPr>
        <w:fldChar w:fldCharType="begin" w:fldLock="1"/>
      </w:r>
      <w:r w:rsidRPr="002A6BF2">
        <w:rPr>
          <w:lang w:val="en-US"/>
        </w:rPr>
        <w:instrText>ADDIN CSL_CITATION {"citationItems":[{"id":"ITEM-1","itemData":{"DOI":"10.1016/S0076-6879(09)04617-5","ISBN":"9780123745910","ISSN":"00766879","abstract":"This review presents the most thoroughly studied bacterial fatty acid synthetic pathway, that of Escherichia coli and then discusses the exceptions to the E. coli pathway present in other bacteria. The known interrelationships between the fatty acid and polyketide synthetic pathways are also assessed, mainly in the Streptomyces group of bacteria. Finally, we present a compendium of methods for analysis of bacterial fatty acid synthetic pathways. © 2009 Elsevier Inc. All rights reserved.","author":[{"dropping-particle":"","family":"Cronan","given":"John E.","non-dropping-particle":"","parse-names":false,"suffix":""},{"dropping-particle":"","family":"Thomas","given":"Jacob","non-dropping-particle":"","parse-names":false,"suffix":""}],"container-title":"Methods in Enzymology","edition":"1","id":"ITEM-1","issue":"B","issued":{"date-parts":[["2009"]]},"number-of-pages":"395-433","publisher":"Elsevier Inc.","title":"Bacterial fatty acid synthesis and its relationships with polyketide synthetic pathways","type":"book","volume":"459"},"uris":["http://www.mendeley.com/documents/?uuid=143015e7-9492-4de9-aad7-651c7bfaa579"]}],"mendeley":{"formattedCitation":"(Cronan &amp; Thomas, 2009)","plainTextFormattedCitation":"(Cronan &amp; Thomas, 2009)","previouslyFormattedCitation":"(Cronan &amp; Thomas, 2009)"},"properties":{"noteIndex":0},"schema":"https://github.com/citation-style-language/schema/raw/master/csl-citation.json"}</w:instrText>
      </w:r>
      <w:r w:rsidRPr="002A6BF2">
        <w:rPr>
          <w:lang w:val="en-US"/>
        </w:rPr>
        <w:fldChar w:fldCharType="separate"/>
      </w:r>
      <w:r w:rsidRPr="002A6BF2">
        <w:rPr>
          <w:noProof/>
          <w:lang w:val="en-US"/>
        </w:rPr>
        <w:t>(Cronan &amp; Thomas, 2009)</w:t>
      </w:r>
      <w:r w:rsidRPr="002A6BF2">
        <w:rPr>
          <w:lang w:val="en-US"/>
        </w:rPr>
        <w:fldChar w:fldCharType="end"/>
      </w:r>
      <w:r w:rsidRPr="002A6BF2">
        <w:rPr>
          <w:lang w:val="en-US"/>
        </w:rPr>
        <w:t>. Especially in polyketide biosynthesis, malonyl-CoA is a frequent extender unit. Due to its universal use as precursor in different biosynthe</w:t>
      </w:r>
      <w:r w:rsidR="00405150" w:rsidRPr="002A6BF2">
        <w:rPr>
          <w:lang w:val="en-US"/>
        </w:rPr>
        <w:t>tic</w:t>
      </w:r>
      <w:r w:rsidRPr="002A6BF2">
        <w:rPr>
          <w:lang w:val="en-US"/>
        </w:rPr>
        <w:t xml:space="preserve"> pathways, several microbial hosts </w:t>
      </w:r>
      <w:r w:rsidR="0014402F" w:rsidRPr="002A6BF2">
        <w:rPr>
          <w:lang w:val="en-US"/>
        </w:rPr>
        <w:t xml:space="preserve">have been engineered for </w:t>
      </w:r>
      <w:r w:rsidRPr="002A6BF2">
        <w:rPr>
          <w:lang w:val="en-US"/>
        </w:rPr>
        <w:t xml:space="preserve">increased availability of malonyl-CoA </w:t>
      </w:r>
      <w:r w:rsidR="0014402F" w:rsidRPr="002A6BF2">
        <w:rPr>
          <w:lang w:val="en-US"/>
        </w:rPr>
        <w:t xml:space="preserve">for </w:t>
      </w:r>
      <w:r w:rsidR="00405150" w:rsidRPr="002A6BF2">
        <w:rPr>
          <w:lang w:val="en-US"/>
        </w:rPr>
        <w:t xml:space="preserve">heterologous secondary metabolite production </w:t>
      </w:r>
      <w:r w:rsidR="00CE4B2D" w:rsidRPr="002A6BF2">
        <w:rPr>
          <w:lang w:val="en-US"/>
        </w:rPr>
        <w:fldChar w:fldCharType="begin" w:fldLock="1"/>
      </w:r>
      <w:r w:rsidR="00304BFA" w:rsidRPr="002A6BF2">
        <w:rPr>
          <w:lang w:val="en-US"/>
        </w:rPr>
        <w:instrText>ADDIN CSL_CITATION {"citationItems":[{"id":"ITEM-1","itemData":{"DOI":"10.1002/biot.201700463","author":[{"dropping-particle":"","family":"Palmer","given":"Claire M.","non-dropping-particle":"","parse-names":false,"suffix":""},{"dropping-particle":"","family":"Alper","given":"Hal S.","non-dropping-particle":"","parse-names":false,"suffix":""}],"container-title":"Biotechnology Journal","id":"ITEM-1","issued":{"date-parts":[["2019"]]},"title":"Expanding the Chemical Palette of Industrial Microbes: Metabolic Engineering for Type III PKS‐Derived Polyketides","type":"article-journal","volume":"14"},"uris":["http://www.mendeley.com/documents/?uuid=ce554b96-49ce-4870-b942-f8ff13a8a98c"]},{"id":"ITEM-2","itemData":{"DOI":"https://doi.org/10.1007/s00253-020-10643-7","author":[{"dropping-particle":"","family":"Milke","given":"Lars","non-dropping-particle":"","parse-names":false,"suffix":""},{"dropping-particle":"","family":"Marienhagen","given":"Jan","non-dropping-particle":"","parse-names":false,"suffix":""}],"container-title":"Applied Microbiology and Biotechnology","id":"ITEM-2","issued":{"date-parts":[["2020"]]},"publisher":"Applied Microbiology and Biotechnology","title":"Engineering intracellular malonyl-CoA availability in microbial hosts and its impact on polyketide and fatty acid synthesis","type":"article-journal","volume":"2017"},"uris":["http://www.mendeley.com/documents/?uuid=d5ac8db1-948a-4795-ba23-7139ce6332b6"]},{"id":"ITEM-3","itemData":{"DOI":"10.1016/j.biotechadv.2022.107966","author":[{"dropping-particle":"","family":"Liu","given":"Jiaqi","non-dropping-particle":"","parse-names":false,"suffix":""},{"dropping-particle":"","family":"Wang","given":"Xue","non-dropping-particle":"","parse-names":false,"suffix":""},{"dropping-particle":"","family":"Dai","given":"Guangzhi","non-dropping-particle":"","parse-names":false,"suffix":""},{"dropping-particle":"","family":"Zhang","given":"Youming","non-dropping-particle":"","parse-names":false,"suffix":""},{"dropping-particle":"","family":"Bian","given":"Xiaoying","non-dropping-particle":"","parse-names":false,"suffix":""}],"container-title":"Biotechnology Advances","id":"ITEM-3","issued":{"date-parts":[["2022"]]},"page":"107966","publisher":"Biotechnology Advances","title":"Microbial chassis engineering drives heterologous production of complex secondary metabolites","type":"article-journal","volume":"59"},"uris":["http://www.mendeley.com/documents/?uuid=b8676af8-1b97-4e82-abb2-981761bc14a6"]}],"mendeley":{"formattedCitation":"(J. Liu et al., 2022; Milke &amp; Marienhagen, 2020; Palmer &amp; Alper, 2019)","plainTextFormattedCitation":"(J. Liu et al., 2022; Milke &amp; Marienhagen, 2020; Palmer &amp; Alper, 2019)","previouslyFormattedCitation":"(J. Liu et al., 2022; Milke &amp; Marienhagen, 2020; Palmer &amp; Alper, 2019)"},"properties":{"noteIndex":0},"schema":"https://github.com/citation-style-language/schema/raw/master/csl-citation.json"}</w:instrText>
      </w:r>
      <w:r w:rsidR="00CE4B2D" w:rsidRPr="002A6BF2">
        <w:rPr>
          <w:lang w:val="en-US"/>
        </w:rPr>
        <w:fldChar w:fldCharType="separate"/>
      </w:r>
      <w:r w:rsidR="00304BFA" w:rsidRPr="002A6BF2">
        <w:rPr>
          <w:noProof/>
          <w:lang w:val="en-US"/>
        </w:rPr>
        <w:t>(J. Liu et al., 2022; Milke &amp; Marienhagen, 2020; Palmer &amp; Alper, 2019)</w:t>
      </w:r>
      <w:r w:rsidR="00CE4B2D" w:rsidRPr="002A6BF2">
        <w:rPr>
          <w:lang w:val="en-US"/>
        </w:rPr>
        <w:fldChar w:fldCharType="end"/>
      </w:r>
      <w:r w:rsidRPr="002A6BF2">
        <w:rPr>
          <w:lang w:val="en-US"/>
        </w:rPr>
        <w:t xml:space="preserve">. These include </w:t>
      </w:r>
      <w:r w:rsidRPr="002A6BF2">
        <w:rPr>
          <w:i/>
          <w:iCs/>
          <w:lang w:val="en-US"/>
        </w:rPr>
        <w:t xml:space="preserve">Escherichia coli </w:t>
      </w:r>
      <w:r w:rsidRPr="002A6BF2">
        <w:rPr>
          <w:i/>
          <w:iCs/>
          <w:lang w:val="en-US"/>
        </w:rPr>
        <w:fldChar w:fldCharType="begin" w:fldLock="1"/>
      </w:r>
      <w:r w:rsidR="00E81DDE" w:rsidRPr="002A6BF2">
        <w:rPr>
          <w:i/>
          <w:iCs/>
          <w:lang w:val="en-US"/>
        </w:rPr>
        <w:instrText>ADDIN CSL_CITATION {"citationItems":[{"id":"ITEM-1","itemData":{"DOI":"10.1073/pnas.1808567115","ISSN":"0027-8424","abstract":"Malonyl-CoA is an important central metabolite for the production of diverse valuable chemicals including natural products, but its intracellular availability is often limited due to the competition with essential cellular metabolism. Several malonyl-CoA biosensors have been developed for high-throughput screening of targets increasing the malonyl-CoA pool. However, they are limited for use only in Escherichia coli and Saccharomyces cerevisiae and require multiple signal transduction steps. Here we report development of a colorimetric malonyl-CoA biosensor applicable in three industrially important bacteria: E. coli , Pseudomonas putida , and Corynebacterium glutamicum . RppA, a type III polyketide synthase producing red-colored flaviolin, was repurposed as a malonyl-CoA biosensor in E. coli . Strains with enhanced malonyl-CoA accumulation were identifiable by the colorimetric screening of cells showing increased red color. Other type III polyketide synthases could also be repurposed as malonyl-CoA biosensors. For target screening, a 1,858 synthetic small regulatory RNA library was constructed and applied to find 14 knockdown gene targets that generally enhanced malonyl-CoA level in E. coli . These knockdown targets were applied to produce two polyketide (6-methylsalicylic acid and aloesone) and two phenylpropanoid (resveratrol and naringenin) compounds. Knocking down these genes alone or in combination, and also in multiple different E. coli strains for two polyketide cases, allowed rapid development of engineered strains capable of enhanced production of 6-methylsalicylic acid, aloesone, resveratrol, and naringenin to 440.3, 30.9, 51.8, and 103.8 mg/L, respectively. The malonyl-CoA biosensor developed here is a simple tool generally applicable to metabolic engineering of microorganisms to achieve enhanced production of malonyl-CoA–derived chemicals.","author":[{"dropping-particle":"","family":"Yang","given":"Dongsoo","non-dropping-particle":"","parse-names":false,"suffix":""},{"dropping-particle":"","family":"Kim","given":"Won Jun","non-dropping-particle":"","parse-names":false,"suffix":""},{"dropping-particle":"","family":"Yoo","given":"Seung Min","non-dropping-particle":"","parse-names":false,"suffix":""},{"dropping-particle":"","family":"Choi","given":"Jong Hyun","non-dropping-particle":"","parse-names":false,"suffix":""},{"dropping-particle":"","family":"Ha","given":"Shin Hee","non-dropping-particle":"","parse-names":false,"suffix":""},{"dropping-particle":"","family":"Lee","given":"Mun Hee","non-dropping-particle":"","parse-names":false,"suffix":""},{"dropping-particle":"","family":"Lee","given":"Sang Yup","non-dropping-particle":"","parse-names":false,"suffix":""}],"container-title":"Proceedings of the National Academy of Sciences","id":"ITEM-1","issue":"40","issued":{"date-parts":[["2018","10","2"]]},"note":"254nm for flaviolin detection in HPLC","page":"9835-9844","title":"Repurposing type III polyketide synthase as a malonyl-CoA biosensor for metabolic engineering in bacteria","type":"article-journal","volume":"115"},"uris":["http://www.mendeley.com/documents/?uuid=55ee17eb-36f2-43b7-a6c6-5c2f15701d78"]}],"mendeley":{"formattedCitation":"(D. Yang et al., 2018)","manualFormatting":"(Yang et al., 2018)","plainTextFormattedCitation":"(D. Yang et al., 2018)","previouslyFormattedCitation":"(D. Yang et al., 2018)"},"properties":{"noteIndex":0},"schema":"https://github.com/citation-style-language/schema/raw/master/csl-citation.json"}</w:instrText>
      </w:r>
      <w:r w:rsidRPr="002A6BF2">
        <w:rPr>
          <w:i/>
          <w:iCs/>
          <w:lang w:val="en-US"/>
        </w:rPr>
        <w:fldChar w:fldCharType="separate"/>
      </w:r>
      <w:r w:rsidRPr="002A6BF2">
        <w:rPr>
          <w:iCs/>
          <w:noProof/>
          <w:lang w:val="en-US"/>
        </w:rPr>
        <w:t>(Yang et al., 2018)</w:t>
      </w:r>
      <w:r w:rsidRPr="002A6BF2">
        <w:rPr>
          <w:i/>
          <w:iCs/>
          <w:lang w:val="en-US"/>
        </w:rPr>
        <w:fldChar w:fldCharType="end"/>
      </w:r>
      <w:r w:rsidRPr="002A6BF2">
        <w:rPr>
          <w:lang w:val="en-US"/>
        </w:rPr>
        <w:t xml:space="preserve">, </w:t>
      </w:r>
      <w:r w:rsidRPr="002A6BF2">
        <w:rPr>
          <w:i/>
          <w:iCs/>
          <w:lang w:val="en-US"/>
        </w:rPr>
        <w:t xml:space="preserve">Corynebacterium glutamicum </w:t>
      </w:r>
      <w:r w:rsidRPr="002A6BF2">
        <w:rPr>
          <w:i/>
          <w:iCs/>
          <w:lang w:val="en-US"/>
        </w:rPr>
        <w:fldChar w:fldCharType="begin" w:fldLock="1"/>
      </w:r>
      <w:r w:rsidRPr="002A6BF2">
        <w:rPr>
          <w:i/>
          <w:iCs/>
          <w:lang w:val="en-US"/>
        </w:rPr>
        <w:instrText>ADDIN CSL_CITATION {"citationItems":[{"id":"ITEM-1","itemData":{"DOI":"10.1002/bit.26939","ISSN":"10970290","abstract":"In recent years microorganisms have been engineered towards synthesizing interesting plant polyphenols such as flavonoids and stilbenes from glucose. Currently, the low endogenous supply of malonyl-CoA, indispensable for plant polyphenol synthesis, impedes high product titers. Usually, limited malonyl-CoA availability during plant polyphenol production is avoided by supplementing fatty acid synthesis-inhibiting antibiotics such as cerulenin, which are known to increase the intracellular malonyl-CoA pool as a side effect. Motivated by the goal of microbial polyphenol synthesis being independent of such expensive additives, we used rational metabolic engineering approaches to modulate regulation of fatty acid synthesis and flux into the tricarboxylic acid cycle (TCA cycle) in Corynebacterium glutamicum strains capable of flavonoid and stilbene synthesis. Initial experiments showed that sole overexpression of genes coding for the native malonyl-CoA-forming acetyl-CoA carboxylase is not sufficient for increasing polyphenol production in C. glutamicum. Hence, the intracellular acetyl-CoA availability was also increased by reducing the flux into the TCA cycle through reduction of citrate synthase activity. In defined cultivation medium, the constructed C. glutamicum strains accumulated 24 mg·L −1 (0.088 mM) naringenin or 112 mg·L −1 (0.49 mM) resveratrol from glucose without supplementation of phenylpropanoid precursor molecules or any inhibitors of fatty acid synthesis.","author":[{"dropping-particle":"","family":"Milke","given":"Lars","non-dropping-particle":"","parse-names":false,"suffix":""},{"dropping-particle":"","family":"Ferreira","given":"Patrícia","non-dropping-particle":"","parse-names":false,"suffix":""},{"dropping-particle":"","family":"Kallscheuer","given":"Nicolai","non-dropping-particle":"","parse-names":false,"suffix":""},{"dropping-particle":"","family":"Braga","given":"Adelaide","non-dropping-particle":"","parse-names":false,"suffix":""},{"dropping-particle":"","family":"Vogt","given":"Michael","non-dropping-particle":"","parse-names":false,"suffix":""},{"dropping-particle":"","family":"Kappelmann","given":"Jannick","non-dropping-particle":"","parse-names":false,"suffix":""},{"dropping-particle":"","family":"Oliveira","given":"Joana","non-dropping-particle":"","parse-names":false,"suffix":""},{"dropping-particle":"","family":"Silva","given":"Ana Rita","non-dropping-particle":"","parse-names":false,"suffix":""},{"dropping-particle":"","family":"Rocha","given":"Isabel","non-dropping-particle":"","parse-names":false,"suffix":""},{"dropping-particle":"","family":"Bott","given":"Michael","non-dropping-particle":"","parse-names":false,"suffix":""},{"dropping-particle":"","family":"Noack","given":"Stephan","non-dropping-particle":"","parse-names":false,"suffix":""},{"dropping-particle":"","family":"Faria","given":"Nuno","non-dropping-particle":"","parse-names":false,"suffix":""},{"dropping-particle":"","family":"Marienhagen","given":"Jan","non-dropping-particle":"","parse-names":false,"suffix":""}],"container-title":"Biotechnology and Bioengineering","id":"ITEM-1","issue":"6","issued":{"date-parts":[["2019"]]},"page":"1380-1391","title":"Modulation of the central carbon metabolism of &lt;i&gt;Corynebacterium glutamicum&lt;/i&gt; improves malonyl-CoA availability and increases plant polyphenol synthesis","type":"article-journal","volume":"116"},"uris":["http://www.mendeley.com/documents/?uuid=3f6f1c2b-d76b-40ca-9f43-c854e7a6706e"]},{"id":"ITEM-2","itemData":{"DOI":"10.1186/s12934-019-1117-x","ISSN":"14752859","abstract":"Background: In the last years, different biotechnologically relevant microorganisms have been engineered for the synthesis of plant polyphenols such as flavonoids and stilbenes. However, low intracellular availability of malonyl-CoA as essential precursor for most plant polyphenols of interest is regarded as the decisive bottleneck preventing high product titers. Results: In this study, Corynebacterium glutamicum, which emerged as promising cell factory for plant polyphenol production, was tailored by rational metabolic engineering towards providing significantly more malonyl-CoA for product synthesis. This was achieved by improving carbon source uptake, transcriptional deregulation of accBC and accD1 encoding the two subunits of the acetyl-CoA carboxylase (ACC), reduced flux into the tricarboxylic acid (TCA) cycle, and elimination of anaplerotic carboxylation of pyruvate. The constructed strains were used for the synthesis of the pharmacologically interesting plant pentaketide noreugenin, which is produced by plants such as Aloe arborescens from five molecules of malonyl-CoA. In this context, accumulation of the C 1 /C 6 cyclized intermediate 1-(2,4,6-trihydroxyphenyl)butane-1,3-dione (TPBD) was observed, which could be fully cyclized to the bicyclic product noreugenin by acidification. Conclusion: The best strain C. glutamicum Nor2 C5</w:instrText>
      </w:r>
      <w:r w:rsidRPr="00310E46">
        <w:rPr>
          <w:i/>
          <w:iCs/>
        </w:rPr>
        <w:instrText xml:space="preserve"> mufasO BCD1 P O6 -iolT1 </w:instrText>
      </w:r>
      <w:r w:rsidRPr="002A6BF2">
        <w:rPr>
          <w:i/>
          <w:iCs/>
          <w:lang w:val="en-US"/>
        </w:rPr>
        <w:instrText>Δ</w:instrText>
      </w:r>
      <w:r w:rsidRPr="00310E46">
        <w:rPr>
          <w:i/>
          <w:iCs/>
        </w:rPr>
        <w:instrText>pyc allowed for synthesis of 53.32 mg/L (0.278 mM) noreugenin in CGXII medium supplemented with casamino acids within 24 h.","author":[{"dropping-particle":"","family":"Milke","given":"Lars","non-dropping-particle":"","parse-names":false,"suffix":""},{"dropping-particle":"","family":"Kallscheuer","given":"Nicolai","non-dropping-particle":"","parse-names":false,"suffix":""},{"dropping-particle":"","family":"Kappelmann","given":"Jannick","non-dropping-particle":"","parse-names":false,"suffix":""},{"dropping-particle":"","family":"Marienhagen","given":"Jan","non-dropping-particle":"","parse-names":false,"suffix":""}],"container-title":"Microbial Cell Factories","id":"ITEM-2","issue":"1","issued":{"date-parts":[["2019"]]},"page":"1-12","publisher":"BioMed Central","title":"Tailoring &lt;i&gt;Corynebacterium glutamicum&lt;/i&gt; towards increased malonyl-CoA availability for efficient synthesis of the plant pentaketide noreugenin","type":"article-journal","volume":"18"},"uris":["http://www.mendeley.com/documents/?uuid=826f7b05-dd1f-4060-bad3-d418f200fecc"]}],"mendeley":{"formattedCitation":"(Milke, Ferreira, et al., 2019; Milke, Kallscheuer, et al., 2019)","plainTextFormattedCitation":"(Milke, Ferreira, et al., 2019; Milke, Kallscheuer, et al., 2019)","previouslyFormattedCitation":"(Milke, Ferreira, et al., 2019; Milke, Kallscheuer, et al., 2019)"},"properties":{"noteIndex":0},"schema":"https://github.com/citation-style-language/schema/raw/master/csl-citation.json"}</w:instrText>
      </w:r>
      <w:r w:rsidRPr="002A6BF2">
        <w:rPr>
          <w:i/>
          <w:iCs/>
          <w:lang w:val="en-US"/>
        </w:rPr>
        <w:fldChar w:fldCharType="separate"/>
      </w:r>
      <w:r w:rsidRPr="00310E46">
        <w:rPr>
          <w:iCs/>
          <w:noProof/>
        </w:rPr>
        <w:t>(Milke, Ferreira, et al., 2019; Milke, Kallscheuer, et al., 2019)</w:t>
      </w:r>
      <w:r w:rsidRPr="002A6BF2">
        <w:rPr>
          <w:i/>
          <w:iCs/>
          <w:lang w:val="en-US"/>
        </w:rPr>
        <w:fldChar w:fldCharType="end"/>
      </w:r>
      <w:r w:rsidRPr="00310E46">
        <w:rPr>
          <w:i/>
          <w:iCs/>
        </w:rPr>
        <w:t xml:space="preserve">, Streptomyces </w:t>
      </w:r>
      <w:r w:rsidRPr="00310E46">
        <w:t>spp.</w:t>
      </w:r>
      <w:r w:rsidRPr="00310E46">
        <w:rPr>
          <w:i/>
          <w:iCs/>
        </w:rPr>
        <w:t xml:space="preserve"> </w:t>
      </w:r>
      <w:r w:rsidRPr="002A6BF2">
        <w:rPr>
          <w:i/>
          <w:iCs/>
          <w:lang w:val="en-US"/>
        </w:rPr>
        <w:fldChar w:fldCharType="begin" w:fldLock="1"/>
      </w:r>
      <w:r w:rsidRPr="00310E46">
        <w:rPr>
          <w:i/>
          <w:iCs/>
        </w:rPr>
        <w:instrText>ADDIN CSL_CITATION {"citationItems":[{"id":"ITEM-1","itemData":{"DOI":"10.1007/s00284-022-02867-9","ISBN":"0123456789","ISSN":"14320991","PMID":"35488939","abstract":"Precursor engineering is an effective strategy for the overproduction of secondary metabolites. The polyene macrolide rimocidin, which is produced by Streptomyces rimosus M527, exhibits a potent activity against a broad range of phytopathogenic fungi. It has been predicted that malonyl-CoA is used as extender units for rimocidin biosynthesis. Based on a systematic analysis of three sets of time-series transcriptome microarray data of S. rimosus M527 fermented in different conditions, the differentially expressed accsr gene that encodes acetyl-CoA carboxylase (ACC) was found. To understand how the formation of rimocidin is being influenced by the expression of the accsr gene and by the concentration of malonyl-CoA, the accsr gene was cloned and over-expressed in the wild-type strain S. rimosus M527 in this study. The recombinant strain S. rimosus M527-ACC harboring the over-expressed accsr gene exhibited better performances based on the enzymatic activity of ACC, intracellular malonyl-CoA concentrations, and rimocidin production compared to S. rimosus M527 throughout the fermentation process. The enzymatic activity of ACC and intracellular concentration of malonyl-CoA of S. rimosus M527-ACC were 1.0- and 1.5-fold higher than th</w:instrText>
      </w:r>
      <w:r w:rsidRPr="002A6BF2">
        <w:rPr>
          <w:i/>
          <w:iCs/>
          <w:lang w:val="en-US"/>
        </w:rPr>
        <w:instrText>ose of S. rimosus M527, respectively. Finally, the yield of rimocidin produced by S. rimosus M527-ACC reached 320.7 mg/L, which was 34.0% higher than that of S. rimosus M527. These results confirmed that malonyl-CoA is an important precursor for rimocidin biosynthesis and suggested that an adequate supply of malonyl-CoA caused by accsr gene over-expression led to the improvement in rimocidin production.","author":[{"dropping-particle":"","family":"Liao","given":"Zhijun","non-dropping-particle":"","parse-names":false,"suffix":""},{"dropping-particle":"","family":"Zhang","given":"Jinyao","non-dropping-particle":"","parse-names":false,"suffix":""},{"dropping-particle":"","family":"Shi","given":"Yue","non-dropping-particle":"","parse-names":false,"suffix":""},{"dropping-particle":"","family":"Zhang","given":"Yongyong","non-dropping-particle":"","parse-names":false,"suffix":""},{"dropping-particle":"","family":"Ma","given":"Zheng","non-dropping-particle":"","parse-names":false,"suffix":""},{"dropping-particle":"","family":"Bechthold","given":"Andreas","non-dropping-particle":"","parse-names":false,"suffix":""},{"dropping-particle":"","family":"Yu","given":"Xiaoping","non-dropping-particle":"","parse-names":false,"suffix":""}],"container-title":"Current Microbiology","id":"ITEM-1","issue":"6","issued":{"date-parts":[["2022"]]},"page":"1-8","publisher":"Springer US","title":"Improvement of Rimocidin Biosynthesis by Increasing Supply of Precursor Malonyl-CoA via Over-expression of Acetyl-CoA Carboxylase in &lt;i&gt;Streptomyces rimosus&lt;/i&gt; M527","type":"article-journal","volume":"79"},"uris":["http://www.mendeley.com/documents/?uuid=8187574c-980c-49ca-bbcd-b46073d43339"]}],"mendeley":{"formattedCitation":"(Liao et al., 2022)","plainTextFormattedCitation":"(Liao et al., 2022)","previouslyFormattedCitation":"(Liao et al., 2022)"},"properties":{"noteIndex":0},"schema":"https://github.com/citation-style-language/schema/raw/master/csl-citation.json"}</w:instrText>
      </w:r>
      <w:r w:rsidRPr="002A6BF2">
        <w:rPr>
          <w:i/>
          <w:iCs/>
          <w:lang w:val="en-US"/>
        </w:rPr>
        <w:fldChar w:fldCharType="separate"/>
      </w:r>
      <w:r w:rsidRPr="002A6BF2">
        <w:rPr>
          <w:iCs/>
          <w:noProof/>
          <w:lang w:val="en-US"/>
        </w:rPr>
        <w:t>(Liao et al., 2022)</w:t>
      </w:r>
      <w:r w:rsidRPr="002A6BF2">
        <w:rPr>
          <w:i/>
          <w:iCs/>
          <w:lang w:val="en-US"/>
        </w:rPr>
        <w:fldChar w:fldCharType="end"/>
      </w:r>
      <w:r w:rsidRPr="002A6BF2">
        <w:rPr>
          <w:lang w:val="en-US"/>
        </w:rPr>
        <w:t xml:space="preserve">, </w:t>
      </w:r>
      <w:r w:rsidRPr="002A6BF2">
        <w:rPr>
          <w:i/>
          <w:iCs/>
          <w:lang w:val="en-US"/>
        </w:rPr>
        <w:t xml:space="preserve">Saccharomyces cerevisiae </w:t>
      </w:r>
      <w:r w:rsidRPr="002A6BF2">
        <w:rPr>
          <w:i/>
          <w:iCs/>
          <w:lang w:val="en-US"/>
        </w:rPr>
        <w:fldChar w:fldCharType="begin" w:fldLock="1"/>
      </w:r>
      <w:r w:rsidR="00857265">
        <w:rPr>
          <w:i/>
          <w:iCs/>
          <w:lang w:val="en-US"/>
        </w:rPr>
        <w:instrText>ADDIN CSL_CITATION {"citationItems":[{"id":"ITEM-1","itemData":{"DOI":"10.1016/j.jbiotec.2020.11.014","ISSN":"18734863","PMID":"33278463","abstract":"To reduce dependence on petroleum, the biosynthesis of important chemicals from simple substrates using industrial microorganisms has attracted increased attention. Metabolic engineering of Saccharomyces cerevisiae offers a sustainable and flexible alternative for the production of various chemicals. As a key metabolic intermediate, malonyl-CoA is a precursor for many useful compounds. However, the productivity of malonyl-CoA derivatives is restricted by the low cellular level of malonyl-CoA and enzymatic performance. In this review, we focused on how to increase the intracellular malonyl-CoA level and summarize the recent advances in different metabolic engineering strategies for directing intracellular malonyl-CoA to the desired malonyl-CoA derivatives, including strengthening the malonyl-CoA supply, reducing malonyl-CoA consumption, and precisely controlling the intracellular malonyl-CoA level. These strategies provided new insights for further improving the synthesis of malonyl-CoA derivatives in microorganisms.","author":[{"dropping-particle":"","family":"Li","given":"Shiyun","non-dropping-particle":"","parse-names":false,"suffix":""},{"dropping-particle":"","family":"Zhang","given":"Qiyue","non-dropping-particle":"","parse-names":false,"suffix":""},{"dropping-particle":"","family":"Wang","given":"Jing","non-dropping-particle":"","parse-names":false,"suffix":""},{"dropping-particle":"","family":"Liu","given":"Yingli","non-dropping-particle":"","parse-names":false,"suffix":""},{"dropping-particle":"","family":"Zhao","given":"Yunying","non-dropping-particle":"","parse-names":false,"suffix":""},{"dropping-particle":"","family":"Deng","given":"Yu","non-dropping-particle":"","parse-names":false,"suffix":""}],"container-title":"Journal of Biotechnology","id":"ITEM-1","issue":"December 2020","issued":{"date-parts":[["2021"]]},"page":"83-90","publisher":"Elsevier B.V.","title":"Recent progress in metabolic engineering of &lt;i&gt;Saccharomyces cerevisiae&lt;/i&gt; for the production of malonyl-CoA derivatives","type":"article-journal","volume":"325"},"uris":["http://www.mendeley.com/documents/?uuid=bb40ed8c-7522-4820-94d6-381e97411f2d"]}],"mendeley":{"formattedCitation":"(S. Li et al., 2021)","plainTextFormattedCitation":"(S. Li et al., 2021)","previouslyFormattedCitation":"(S. Li et al., 2021)"},"properties":{"noteIndex":0},"schema":"https://github.com/citation-style-language/schema/raw/master/csl-citation.json"}</w:instrText>
      </w:r>
      <w:r w:rsidRPr="002A6BF2">
        <w:rPr>
          <w:i/>
          <w:iCs/>
          <w:lang w:val="en-US"/>
        </w:rPr>
        <w:fldChar w:fldCharType="separate"/>
      </w:r>
      <w:r w:rsidR="00857265" w:rsidRPr="00857265">
        <w:rPr>
          <w:iCs/>
          <w:noProof/>
          <w:lang w:val="en-US"/>
        </w:rPr>
        <w:t>(S. Li et al., 2021)</w:t>
      </w:r>
      <w:r w:rsidRPr="002A6BF2">
        <w:rPr>
          <w:i/>
          <w:iCs/>
          <w:lang w:val="en-US"/>
        </w:rPr>
        <w:fldChar w:fldCharType="end"/>
      </w:r>
      <w:r w:rsidRPr="002A6BF2">
        <w:rPr>
          <w:iCs/>
          <w:lang w:val="en-US"/>
        </w:rPr>
        <w:t>,</w:t>
      </w:r>
      <w:r w:rsidRPr="002A6BF2">
        <w:rPr>
          <w:i/>
          <w:iCs/>
          <w:lang w:val="en-US"/>
        </w:rPr>
        <w:t xml:space="preserve"> </w:t>
      </w:r>
      <w:r w:rsidRPr="002A6BF2">
        <w:rPr>
          <w:iCs/>
          <w:lang w:val="en-US"/>
        </w:rPr>
        <w:t>and</w:t>
      </w:r>
      <w:r w:rsidRPr="002A6BF2">
        <w:rPr>
          <w:i/>
          <w:iCs/>
          <w:lang w:val="en-US"/>
        </w:rPr>
        <w:t xml:space="preserve"> Yarrowia lipolytica</w:t>
      </w:r>
      <w:r w:rsidRPr="002A6BF2">
        <w:rPr>
          <w:lang w:val="en-US"/>
        </w:rPr>
        <w:t xml:space="preserve"> </w:t>
      </w:r>
      <w:r w:rsidRPr="002A6BF2">
        <w:rPr>
          <w:lang w:val="en-US"/>
        </w:rPr>
        <w:fldChar w:fldCharType="begin" w:fldLock="1"/>
      </w:r>
      <w:r w:rsidRPr="002A6BF2">
        <w:rPr>
          <w:lang w:val="en-US"/>
        </w:rPr>
        <w:instrText>ADDIN CSL_CITATION {"citationItems":[{"id":"ITEM-1","itemData":{"DOI":"10.1016/j.ymben.2020.08.009","ISSN":"10967184","PMID":"32818629","abstract":"Resveratrol is a plant secondary metabolite with multiple health-beneficial properties. Microbial production of resveratrol in model microorganisms requires extensive engineering to reach commercially viable levels. Here, we explored the potential of the non-conventional yeast Yarrowia lipolytica to produce resveratrol and several other shikimate pathway-derived metabolites (p-coumaric acid, cis,cis-muconic acid, and salicylic acid). The Y. lipolytica strain expressing a heterologous pathway produced 52.1 ± 1.2 mg/L resveratrol in a small-scale cultivation. The titer increased to 409.0 ± 1.2 mg/L when the strain was further engineered with feedback-insensitive alleles of the key genes in the shikimate pathway and with five additional copies of the heterologous biosynthetic genes. In controlled fed-batch bioreactor, the strain produced 12.4 ± 0.3 g/L resveratrol, the highest reported titer to date for de novo resveratrol production, with a yield on glucose of 54.4 ± 1.6 mg/g and a productivity of 0.14 ± 0.01 g/L/h. The study showed that Y. lipolytica is an attractive host organism for the production of resveratrol and possibly other shikimate-pathway derived metabolites.","author":[{"dropping-particle":"","family":"Sáez-Sáez","given":"Javier","non-dropping-particle":"","parse-names":false,"suffix":""},{"dropping-particle":"","family":"Wang","given":"Guokun","non-dropping-particle":"","parse-names":false,"suffix":""},{"dropping-particle":"","family":"Marella","given":"Eko Roy","non-dropping-particle":"","parse-names":false,"suffix":""},{"dropping-particle":"","family":"Sudarsan","given":"Suresh","non-dropping-particle":"","parse-names":false,"suffix":""},{"dropping-particle":"","family":"Cernuda Pastor","given":"Marc","non-dropping-particle":"","parse-names":false,"suffix":""},{"dropping-particle":"","family":"Borodina","given":"Irina","non-dropping-particle":"","parse-names":false,"suffix":""}],"container-title":"Metabolic Engineering","id":"ITEM-1","issue":"August","issued":{"date-parts":[["2020"]]},"note":"current market volume is $97.7 million. Main source of resveratrol is extract from japanese knotwood\n\nchemisch synthtisiert von DSM und fermentativ hergestellt von evolva\n\nhaben auch salicylate gemacht 376 mg/L\n\nunter gleichen bedingungen wie S.cerevisiae macht Y. lipolytica 4.5x mehr resveratrol\n\nIn Y.lipolytica the supply of aromatics is limiting resveratrol production\n\nACC expression nicht limitierend \n\nexpression von TAL-4CL-VST ist limitierung, daher bringt hier multiple insertion sehr viel (Fig 4)\n\nyield 54.4 mg/g entsprechen approx 15.3% of max theoretischer yield\n\nantifoam hat negative impact on resveratrol titers when tested separately in small-scale cultivations.","page":"51-61","title":"Engineering the oleaginous yeast &lt;i&gt;Yarrowia lipolytica&lt;/i&gt; for high-level resveratrol production","type":"article-journal","volume":"62"},"uris":["http://www.mendeley.com/documents/?uuid=f9d3b7d2-780b-4290-8b91-4eb36a62853e"]}],"mendeley":{"formattedCitation":"(Sáez-Sáez et al., 2020)","plainTextFormattedCitation":"(Sáez-Sáez et al., 2020)","previouslyFormattedCitation":"(Sáez-Sáez et al., 2020)"},"properties":{"noteIndex":0},"schema":"https://github.com/citation-style-language/schema/raw/master/csl-citation.json"}</w:instrText>
      </w:r>
      <w:r w:rsidRPr="002A6BF2">
        <w:rPr>
          <w:lang w:val="en-US"/>
        </w:rPr>
        <w:fldChar w:fldCharType="separate"/>
      </w:r>
      <w:r w:rsidRPr="002A6BF2">
        <w:rPr>
          <w:noProof/>
          <w:lang w:val="en-US"/>
        </w:rPr>
        <w:t>(Sáez-Sáez et al., 2020)</w:t>
      </w:r>
      <w:r w:rsidRPr="002A6BF2">
        <w:rPr>
          <w:lang w:val="en-US"/>
        </w:rPr>
        <w:fldChar w:fldCharType="end"/>
      </w:r>
      <w:r w:rsidRPr="002A6BF2">
        <w:rPr>
          <w:lang w:val="en-US"/>
        </w:rPr>
        <w:t xml:space="preserve">. </w:t>
      </w:r>
    </w:p>
    <w:p w14:paraId="75FA17C9" w14:textId="03A2ABAD" w:rsidR="00FE414B" w:rsidRPr="002A6BF2" w:rsidRDefault="008F7CAE" w:rsidP="00B84A00">
      <w:pPr>
        <w:spacing w:line="276" w:lineRule="auto"/>
        <w:jc w:val="both"/>
        <w:rPr>
          <w:lang w:val="en-US"/>
        </w:rPr>
      </w:pPr>
      <w:r w:rsidRPr="002A6BF2">
        <w:rPr>
          <w:lang w:val="en-US"/>
        </w:rPr>
        <w:t>In th</w:t>
      </w:r>
      <w:r w:rsidR="009A16A7" w:rsidRPr="002A6BF2">
        <w:rPr>
          <w:lang w:val="en-US"/>
        </w:rPr>
        <w:t xml:space="preserve">is </w:t>
      </w:r>
      <w:r w:rsidR="00556028" w:rsidRPr="002A6BF2">
        <w:rPr>
          <w:lang w:val="en-US"/>
        </w:rPr>
        <w:t>work</w:t>
      </w:r>
      <w:r w:rsidR="00744875" w:rsidRPr="002A6BF2">
        <w:rPr>
          <w:lang w:val="en-US"/>
        </w:rPr>
        <w:t>, a</w:t>
      </w:r>
      <w:r w:rsidR="009A16A7" w:rsidRPr="002A6BF2">
        <w:rPr>
          <w:lang w:val="en-US"/>
        </w:rPr>
        <w:t xml:space="preserve"> </w:t>
      </w:r>
      <w:r w:rsidR="00992235" w:rsidRPr="002A6BF2">
        <w:rPr>
          <w:lang w:val="en-US"/>
        </w:rPr>
        <w:t xml:space="preserve">robust </w:t>
      </w:r>
      <w:r w:rsidR="009A16A7" w:rsidRPr="002A6BF2">
        <w:rPr>
          <w:lang w:val="en-US"/>
        </w:rPr>
        <w:t>genome-reduced</w:t>
      </w:r>
      <w:r w:rsidR="00744875" w:rsidRPr="002A6BF2">
        <w:rPr>
          <w:lang w:val="en-US"/>
        </w:rPr>
        <w:t xml:space="preserve"> </w:t>
      </w:r>
      <w:r w:rsidR="00744875" w:rsidRPr="002A6BF2">
        <w:rPr>
          <w:i/>
          <w:lang w:val="en-US"/>
        </w:rPr>
        <w:t>Pseudomonas</w:t>
      </w:r>
      <w:r w:rsidR="00744875" w:rsidRPr="002A6BF2">
        <w:rPr>
          <w:lang w:val="en-US"/>
        </w:rPr>
        <w:t xml:space="preserve"> </w:t>
      </w:r>
      <w:r w:rsidR="00744875" w:rsidRPr="002A6BF2">
        <w:rPr>
          <w:i/>
          <w:lang w:val="en-US"/>
        </w:rPr>
        <w:t>taiwanensis</w:t>
      </w:r>
      <w:r w:rsidR="00744875" w:rsidRPr="002A6BF2">
        <w:rPr>
          <w:lang w:val="en-US"/>
        </w:rPr>
        <w:t xml:space="preserve"> VLB120 </w:t>
      </w:r>
      <w:r w:rsidRPr="002A6BF2">
        <w:rPr>
          <w:lang w:val="en-US"/>
        </w:rPr>
        <w:t>is</w:t>
      </w:r>
      <w:r w:rsidR="00744875" w:rsidRPr="002A6BF2">
        <w:rPr>
          <w:lang w:val="en-US"/>
        </w:rPr>
        <w:t xml:space="preserve"> engineered </w:t>
      </w:r>
      <w:r w:rsidR="00793C96" w:rsidRPr="002A6BF2">
        <w:rPr>
          <w:lang w:val="en-US"/>
        </w:rPr>
        <w:t xml:space="preserve">as a platform strain for the synthesis of </w:t>
      </w:r>
      <w:r w:rsidR="00810727" w:rsidRPr="002A6BF2">
        <w:rPr>
          <w:lang w:val="en-US"/>
        </w:rPr>
        <w:t>polyketide</w:t>
      </w:r>
      <w:r w:rsidR="00793C96" w:rsidRPr="002A6BF2">
        <w:rPr>
          <w:lang w:val="en-US"/>
        </w:rPr>
        <w:t xml:space="preserve">s </w:t>
      </w:r>
      <w:r w:rsidR="00EC48B3" w:rsidRPr="002A6BF2">
        <w:rPr>
          <w:lang w:val="en-US"/>
        </w:rPr>
        <w:t xml:space="preserve">by increasing </w:t>
      </w:r>
      <w:r w:rsidR="00EA09D3" w:rsidRPr="002A6BF2">
        <w:rPr>
          <w:lang w:val="en-US"/>
        </w:rPr>
        <w:t xml:space="preserve">intracellular </w:t>
      </w:r>
      <w:r w:rsidR="00EC48B3" w:rsidRPr="002A6BF2">
        <w:rPr>
          <w:lang w:val="en-US"/>
        </w:rPr>
        <w:t>malonyl-CoA</w:t>
      </w:r>
      <w:r w:rsidR="00EA09D3" w:rsidRPr="002A6BF2">
        <w:rPr>
          <w:lang w:val="en-US"/>
        </w:rPr>
        <w:t xml:space="preserve"> availability</w:t>
      </w:r>
      <w:r w:rsidR="00F454EC" w:rsidRPr="002A6BF2">
        <w:rPr>
          <w:lang w:val="en-US"/>
        </w:rPr>
        <w:t xml:space="preserve"> and reducing the drain into FAS</w:t>
      </w:r>
      <w:r w:rsidR="0014402F" w:rsidRPr="002A6BF2">
        <w:rPr>
          <w:lang w:val="en-US"/>
        </w:rPr>
        <w:t xml:space="preserve"> (Fig. 1)</w:t>
      </w:r>
      <w:r w:rsidR="00F454EC" w:rsidRPr="002A6BF2">
        <w:rPr>
          <w:lang w:val="en-US"/>
        </w:rPr>
        <w:t>.</w:t>
      </w:r>
      <w:r w:rsidR="00382368" w:rsidRPr="002A6BF2">
        <w:rPr>
          <w:lang w:val="en-US"/>
        </w:rPr>
        <w:t xml:space="preserve"> </w:t>
      </w:r>
    </w:p>
    <w:p w14:paraId="166F604D" w14:textId="6A7DB6F4" w:rsidR="00FE414B" w:rsidRPr="002A6BF2" w:rsidRDefault="001B52F0" w:rsidP="00B84A00">
      <w:pPr>
        <w:spacing w:line="276" w:lineRule="auto"/>
        <w:jc w:val="both"/>
        <w:rPr>
          <w:lang w:val="en-US"/>
        </w:rPr>
      </w:pPr>
      <w:r w:rsidRPr="002A6BF2">
        <w:rPr>
          <w:noProof/>
          <w:lang w:eastAsia="de-DE"/>
        </w:rPr>
        <w:lastRenderedPageBreak/>
        <w:drawing>
          <wp:inline distT="0" distB="0" distL="0" distR="0" wp14:anchorId="36719C31" wp14:editId="30048C2B">
            <wp:extent cx="5760720" cy="339345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393459"/>
                    </a:xfrm>
                    <a:prstGeom prst="rect">
                      <a:avLst/>
                    </a:prstGeom>
                    <a:noFill/>
                    <a:ln>
                      <a:noFill/>
                    </a:ln>
                  </pic:spPr>
                </pic:pic>
              </a:graphicData>
            </a:graphic>
          </wp:inline>
        </w:drawing>
      </w:r>
    </w:p>
    <w:p w14:paraId="03EF3E88" w14:textId="0FB042F8" w:rsidR="008F7CAE" w:rsidRPr="002A6BF2" w:rsidRDefault="00325010" w:rsidP="00B84A00">
      <w:pPr>
        <w:spacing w:line="276" w:lineRule="auto"/>
        <w:jc w:val="both"/>
        <w:rPr>
          <w:lang w:val="en-US"/>
        </w:rPr>
      </w:pPr>
      <w:r w:rsidRPr="002A6BF2">
        <w:rPr>
          <w:lang w:val="en-US"/>
        </w:rPr>
        <w:t>Fig.</w:t>
      </w:r>
      <w:r w:rsidR="00556028" w:rsidRPr="002A6BF2">
        <w:rPr>
          <w:lang w:val="en-US"/>
        </w:rPr>
        <w:t xml:space="preserve"> 1 </w:t>
      </w:r>
      <w:r w:rsidR="00EB700D" w:rsidRPr="002A6BF2">
        <w:rPr>
          <w:lang w:val="en-US"/>
        </w:rPr>
        <w:t>S</w:t>
      </w:r>
      <w:r w:rsidR="004350D6" w:rsidRPr="002A6BF2">
        <w:rPr>
          <w:lang w:val="en-US"/>
        </w:rPr>
        <w:t xml:space="preserve">chematic </w:t>
      </w:r>
      <w:r w:rsidR="00651650" w:rsidRPr="002A6BF2">
        <w:rPr>
          <w:lang w:val="en-US"/>
        </w:rPr>
        <w:t>representation of heterologous stilbene and flaviolin synthesis from malonyl-CoA. Target of inhibition by cerulenin</w:t>
      </w:r>
      <w:r w:rsidR="000F18CE" w:rsidRPr="002A6BF2">
        <w:rPr>
          <w:lang w:val="en-US"/>
        </w:rPr>
        <w:t xml:space="preserve"> and the</w:t>
      </w:r>
      <w:r w:rsidR="00651650" w:rsidRPr="002A6BF2">
        <w:rPr>
          <w:lang w:val="en-US"/>
        </w:rPr>
        <w:t xml:space="preserve"> respective heterologous </w:t>
      </w:r>
      <w:r w:rsidR="00405150" w:rsidRPr="002A6BF2">
        <w:rPr>
          <w:lang w:val="en-US"/>
        </w:rPr>
        <w:t xml:space="preserve">enzymes </w:t>
      </w:r>
      <w:r w:rsidR="00651650" w:rsidRPr="002A6BF2">
        <w:rPr>
          <w:lang w:val="en-US"/>
        </w:rPr>
        <w:t xml:space="preserve">for product synthesis are indicated. </w:t>
      </w:r>
      <w:r w:rsidR="00131AB8" w:rsidRPr="002A6BF2">
        <w:rPr>
          <w:lang w:val="en-US"/>
        </w:rPr>
        <w:t xml:space="preserve">R represents H or OH group. </w:t>
      </w:r>
      <w:r w:rsidR="00651650" w:rsidRPr="002A6BF2">
        <w:rPr>
          <w:lang w:val="en-US"/>
        </w:rPr>
        <w:t>Abbreviations: EDEMP</w:t>
      </w:r>
      <w:r w:rsidR="00707439" w:rsidRPr="002A6BF2">
        <w:rPr>
          <w:lang w:val="en-US"/>
        </w:rPr>
        <w:t xml:space="preserve"> cycle</w:t>
      </w:r>
      <w:r w:rsidR="00651650" w:rsidRPr="002A6BF2">
        <w:rPr>
          <w:lang w:val="en-US"/>
        </w:rPr>
        <w:t xml:space="preserve">, Entner-Doudoroff Embden-Meyerhof-Parnas </w:t>
      </w:r>
      <w:r w:rsidR="00707439" w:rsidRPr="002A6BF2">
        <w:rPr>
          <w:lang w:val="en-US"/>
        </w:rPr>
        <w:t xml:space="preserve">cycle </w:t>
      </w:r>
      <w:r w:rsidR="00707439" w:rsidRPr="002A6BF2">
        <w:rPr>
          <w:lang w:val="en-US"/>
        </w:rPr>
        <w:fldChar w:fldCharType="begin" w:fldLock="1"/>
      </w:r>
      <w:r w:rsidR="001B0007" w:rsidRPr="002A6BF2">
        <w:rPr>
          <w:lang w:val="en-US"/>
        </w:rPr>
        <w:instrText>ADDIN CSL_CITATION {"citationItems":[{"id":"ITEM-1","itemData":{"DOI":"10.1074/jbc.M115.687749","ISSN":"1083351X","PMID":"26350459","abstract":"The soil bacterium Pseudomonas putida KT2440 lacks a functional Embden-Meyerhof-Parnas (EMP) pathway, and glycolysis is known to proceed almost exclusively through the Entner-Doudoroff (ED) route. To investigate the raison d'être of this metabolic arrangement, the distribution of periplasmic and cytoplasmic carbon fluxes was studied in glucose cultures of this bacterium by using 13C-labeled substrates, combined with quantitative physiology experiments, metabolite quantification, and in vitro enzymatic assays under both saturating and nonsaturating, quasi in vivo conditions. Metabolic flux analysis demonstrated that 90% of the consumed sugar was converted into gluconate, entering central carbon metabolism as 6-phosphogluconate and further channeled into the ED pathway. Remarkably, about 10% of the triose phosphates were found to be recycled back to form hexose phosphates. This set of reactions merges activities belonging to the ED, the EMP (operating in a gluconeogenic fashion), and the pentose phosphate pathways to form an unforeseen metabolic architecture (EDEMP cycle). Determination of the NADPH balance revealed that the default metabolic state of P. putida KT2440 is characterized by a slight catabolic overproduction of reducing power. Cells growing on glucose thus run a biochemical cycle that favors NADPH formation. Because NADPH is required not only for anabolic functions but also for counteracting different types of environmental stress, such a cyclic operation may contribute to the physiological heftiness of this bacterium in its natural habitats.","author":[{"dropping-particle":"","family":"Nikel","given":"Pablo I.","non-dropping-particle":"","parse-names":false,"suffix":""},{"dropping-particle":"","family":"Chavarría","given":"Max","non-dropping-particle":"","parse-names":false,"suffix":""},{"dropping-particle":"","family":"Fuhrer","given":"Tobias","non-dropping-particle":"","parse-names":false,"suffix":""},{"dropping-particle":"","family":"Sauer","given":"Uwe","non-dropping-particle":"","parse-names":false,"suffix":""},{"dropping-particle":"","family":"Lorenzo","given":"Víctor","non-dropping-particle":"De","parse-names":false,"suffix":""}],"container-title":"Journal of Biological Chemistry","id":"ITEM-1","issue":"43","issued":{"date-parts":[["2015"]]},"page":"25920-25932","title":"&lt;i&gt;Pseudomonas putida&lt;/i&gt; KT2440 strain metabolizes glucose through a cycle formed by enzymes of the Entner-Doudoroff, embden-meyerhof-parnas, and pentose phosphate pathways","type":"article-journal","volume":"290"},"uris":["http://www.mendeley.com/documents/?uuid=55679e27-1931-4eb7-a247-79b54358fa0a"]}],"mendeley":{"formattedCitation":"(Nikel et al., 2015)","plainTextFormattedCitation":"(Nikel et al., 2015)","previouslyFormattedCitation":"(Nikel et al., 2015)"},"properties":{"noteIndex":0},"schema":"https://github.com/citation-style-language/schema/raw/master/csl-citation.json"}</w:instrText>
      </w:r>
      <w:r w:rsidR="00707439" w:rsidRPr="002A6BF2">
        <w:rPr>
          <w:lang w:val="en-US"/>
        </w:rPr>
        <w:fldChar w:fldCharType="separate"/>
      </w:r>
      <w:r w:rsidR="00707439" w:rsidRPr="002A6BF2">
        <w:rPr>
          <w:noProof/>
          <w:lang w:val="en-US"/>
        </w:rPr>
        <w:t>(Nikel et al., 2015)</w:t>
      </w:r>
      <w:r w:rsidR="00707439" w:rsidRPr="002A6BF2">
        <w:rPr>
          <w:lang w:val="en-US"/>
        </w:rPr>
        <w:fldChar w:fldCharType="end"/>
      </w:r>
      <w:r w:rsidR="00651650" w:rsidRPr="002A6BF2">
        <w:rPr>
          <w:lang w:val="en-US"/>
        </w:rPr>
        <w:t>;</w:t>
      </w:r>
      <w:r w:rsidR="00C70B4B" w:rsidRPr="002A6BF2">
        <w:rPr>
          <w:lang w:val="en-US"/>
        </w:rPr>
        <w:t xml:space="preserve"> TCA cycle, </w:t>
      </w:r>
      <w:r w:rsidR="00530EE9" w:rsidRPr="002A6BF2">
        <w:rPr>
          <w:lang w:val="en-US"/>
        </w:rPr>
        <w:t xml:space="preserve">tricarboxylic </w:t>
      </w:r>
      <w:r w:rsidR="00C70B4B" w:rsidRPr="002A6BF2">
        <w:rPr>
          <w:lang w:val="en-US"/>
        </w:rPr>
        <w:t>acid cycle; FAS, fatty acid biosynthesis;</w:t>
      </w:r>
      <w:r w:rsidR="00651650" w:rsidRPr="002A6BF2">
        <w:rPr>
          <w:lang w:val="en-US"/>
        </w:rPr>
        <w:t xml:space="preserve"> PAL, phenylalanine ammonia</w:t>
      </w:r>
      <w:r w:rsidR="00322A44" w:rsidRPr="002A6BF2">
        <w:rPr>
          <w:lang w:val="en-US"/>
        </w:rPr>
        <w:t>-</w:t>
      </w:r>
      <w:r w:rsidR="00651650" w:rsidRPr="002A6BF2">
        <w:rPr>
          <w:lang w:val="en-US"/>
        </w:rPr>
        <w:t>lyase; TAL, tyrosine ammonia</w:t>
      </w:r>
      <w:r w:rsidR="0034669E" w:rsidRPr="002A6BF2">
        <w:rPr>
          <w:lang w:val="en-US"/>
        </w:rPr>
        <w:t>-</w:t>
      </w:r>
      <w:r w:rsidR="00651650" w:rsidRPr="002A6BF2">
        <w:rPr>
          <w:lang w:val="en-US"/>
        </w:rPr>
        <w:t>lyase; 4CL, 4-coumaroyl:CoA ligase;</w:t>
      </w:r>
      <w:r w:rsidR="00131AB8" w:rsidRPr="002A6BF2">
        <w:rPr>
          <w:lang w:val="en-US"/>
        </w:rPr>
        <w:t xml:space="preserve"> STS, stilbene synthase;</w:t>
      </w:r>
      <w:r w:rsidR="00651650" w:rsidRPr="002A6BF2">
        <w:rPr>
          <w:lang w:val="en-US"/>
        </w:rPr>
        <w:t xml:space="preserve"> RppA, 1,3,6,8</w:t>
      </w:r>
      <w:r w:rsidR="00651650" w:rsidRPr="002A6BF2">
        <w:rPr>
          <w:lang w:val="en-US"/>
        </w:rPr>
        <w:noBreakHyphen/>
        <w:t>tetrahydroxynaphthalene synthase</w:t>
      </w:r>
      <w:r w:rsidR="00F87A86" w:rsidRPr="002A6BF2">
        <w:rPr>
          <w:lang w:val="en-US"/>
        </w:rPr>
        <w:t xml:space="preserve"> </w:t>
      </w:r>
    </w:p>
    <w:p w14:paraId="401D9502" w14:textId="70815F2A" w:rsidR="00B07BBA" w:rsidRPr="002A6BF2" w:rsidRDefault="00B07BBA" w:rsidP="00B84A00">
      <w:pPr>
        <w:spacing w:line="276" w:lineRule="auto"/>
        <w:jc w:val="both"/>
        <w:rPr>
          <w:b/>
          <w:lang w:val="en-US"/>
        </w:rPr>
      </w:pPr>
      <w:r w:rsidRPr="002A6BF2">
        <w:rPr>
          <w:b/>
          <w:sz w:val="32"/>
          <w:szCs w:val="32"/>
          <w:lang w:val="en-US"/>
        </w:rPr>
        <w:br w:type="page"/>
      </w:r>
    </w:p>
    <w:p w14:paraId="49EA31B0" w14:textId="4A96F723" w:rsidR="00D938AC" w:rsidRPr="002A6BF2" w:rsidRDefault="00C03932" w:rsidP="00B84A00">
      <w:pPr>
        <w:pStyle w:val="berschrift1"/>
        <w:numPr>
          <w:ilvl w:val="0"/>
          <w:numId w:val="11"/>
        </w:numPr>
        <w:spacing w:line="276" w:lineRule="auto"/>
        <w:rPr>
          <w:lang w:val="en-US"/>
        </w:rPr>
      </w:pPr>
      <w:r w:rsidRPr="002A6BF2">
        <w:rPr>
          <w:lang w:val="en-US"/>
        </w:rPr>
        <w:lastRenderedPageBreak/>
        <w:t xml:space="preserve">Materials and </w:t>
      </w:r>
      <w:r w:rsidR="00D938AC" w:rsidRPr="002A6BF2">
        <w:rPr>
          <w:lang w:val="en-US"/>
        </w:rPr>
        <w:t>Methods:</w:t>
      </w:r>
    </w:p>
    <w:p w14:paraId="477B02A6" w14:textId="0E0CCC43" w:rsidR="00B07BBA" w:rsidRPr="002A6BF2" w:rsidRDefault="00B6648E" w:rsidP="00B84A00">
      <w:pPr>
        <w:pStyle w:val="berschrift2"/>
        <w:numPr>
          <w:ilvl w:val="1"/>
          <w:numId w:val="11"/>
        </w:numPr>
        <w:spacing w:line="276" w:lineRule="auto"/>
        <w:rPr>
          <w:lang w:val="en-US"/>
        </w:rPr>
      </w:pPr>
      <w:r w:rsidRPr="002A6BF2">
        <w:rPr>
          <w:lang w:val="en-US"/>
        </w:rPr>
        <w:t>Bacterial Strains, Plasmids, and Cultivation Conditions</w:t>
      </w:r>
    </w:p>
    <w:p w14:paraId="55216E39" w14:textId="71B2538B" w:rsidR="00931B1E" w:rsidRPr="002A6BF2" w:rsidRDefault="00F319FA" w:rsidP="00B84A00">
      <w:pPr>
        <w:spacing w:line="276" w:lineRule="auto"/>
        <w:jc w:val="both"/>
        <w:rPr>
          <w:lang w:val="en-US"/>
        </w:rPr>
      </w:pPr>
      <w:r w:rsidRPr="002A6BF2">
        <w:rPr>
          <w:lang w:val="en-US"/>
        </w:rPr>
        <w:t>In this study</w:t>
      </w:r>
      <w:r w:rsidR="00C03BB2" w:rsidRPr="002A6BF2">
        <w:rPr>
          <w:lang w:val="en-US"/>
        </w:rPr>
        <w:t>,</w:t>
      </w:r>
      <w:r w:rsidRPr="002A6BF2">
        <w:rPr>
          <w:lang w:val="en-US"/>
        </w:rPr>
        <w:t xml:space="preserve"> </w:t>
      </w:r>
      <w:r w:rsidRPr="002A6BF2">
        <w:rPr>
          <w:i/>
          <w:lang w:val="en-US"/>
        </w:rPr>
        <w:t>Escherichia coli</w:t>
      </w:r>
      <w:r w:rsidRPr="002A6BF2">
        <w:rPr>
          <w:lang w:val="en-US"/>
        </w:rPr>
        <w:t xml:space="preserve"> and </w:t>
      </w:r>
      <w:r w:rsidRPr="002A6BF2">
        <w:rPr>
          <w:i/>
          <w:lang w:val="en-US"/>
        </w:rPr>
        <w:t>Pseudomonas taiwanensis</w:t>
      </w:r>
      <w:r w:rsidRPr="002A6BF2">
        <w:rPr>
          <w:lang w:val="en-US"/>
        </w:rPr>
        <w:t xml:space="preserve"> VLB120 </w:t>
      </w:r>
      <w:r w:rsidR="00C03BB2" w:rsidRPr="002A6BF2">
        <w:rPr>
          <w:lang w:val="en-US"/>
        </w:rPr>
        <w:t xml:space="preserve">strains </w:t>
      </w:r>
      <w:r w:rsidRPr="002A6BF2">
        <w:rPr>
          <w:lang w:val="en-US"/>
        </w:rPr>
        <w:t>were cultured in LB medium at 37°C and 30°C, respectively</w:t>
      </w:r>
      <w:r w:rsidR="008B0A41" w:rsidRPr="002A6BF2">
        <w:rPr>
          <w:lang w:val="en-US"/>
        </w:rPr>
        <w:t>,</w:t>
      </w:r>
      <w:r w:rsidRPr="002A6BF2">
        <w:rPr>
          <w:lang w:val="en-US"/>
        </w:rPr>
        <w:t xml:space="preserve"> with antibiotics</w:t>
      </w:r>
      <w:r w:rsidR="00B45880" w:rsidRPr="002A6BF2">
        <w:rPr>
          <w:lang w:val="en-US"/>
        </w:rPr>
        <w:t xml:space="preserve"> if required</w:t>
      </w:r>
      <w:r w:rsidRPr="002A6BF2">
        <w:rPr>
          <w:lang w:val="en-US"/>
        </w:rPr>
        <w:t xml:space="preserve"> (50</w:t>
      </w:r>
      <w:r w:rsidR="002E3583" w:rsidRPr="002A6BF2">
        <w:rPr>
          <w:lang w:val="en-US"/>
        </w:rPr>
        <w:t> </w:t>
      </w:r>
      <w:r w:rsidRPr="002A6BF2">
        <w:rPr>
          <w:lang w:val="en-US"/>
        </w:rPr>
        <w:t>mg</w:t>
      </w:r>
      <w:r w:rsidR="002E3583" w:rsidRPr="002A6BF2">
        <w:rPr>
          <w:lang w:val="en-US"/>
        </w:rPr>
        <w:t> </w:t>
      </w:r>
      <w:r w:rsidRPr="002A6BF2">
        <w:rPr>
          <w:lang w:val="en-US"/>
        </w:rPr>
        <w:t>L</w:t>
      </w:r>
      <w:r w:rsidRPr="002A6BF2">
        <w:rPr>
          <w:vertAlign w:val="superscript"/>
          <w:lang w:val="en-US"/>
        </w:rPr>
        <w:t>-1</w:t>
      </w:r>
      <w:r w:rsidRPr="002A6BF2">
        <w:rPr>
          <w:lang w:val="en-US"/>
        </w:rPr>
        <w:t xml:space="preserve"> kanamycin</w:t>
      </w:r>
      <w:r w:rsidR="00A400D8" w:rsidRPr="002A6BF2">
        <w:rPr>
          <w:lang w:val="en-US"/>
        </w:rPr>
        <w:t xml:space="preserve"> sulfate</w:t>
      </w:r>
      <w:r w:rsidRPr="002A6BF2">
        <w:rPr>
          <w:lang w:val="en-US"/>
        </w:rPr>
        <w:t>; 20</w:t>
      </w:r>
      <w:r w:rsidR="00406791" w:rsidRPr="002A6BF2">
        <w:rPr>
          <w:lang w:val="en-US"/>
        </w:rPr>
        <w:t> </w:t>
      </w:r>
      <w:r w:rsidRPr="002A6BF2">
        <w:rPr>
          <w:lang w:val="en-US"/>
        </w:rPr>
        <w:t>mg</w:t>
      </w:r>
      <w:r w:rsidR="00406791" w:rsidRPr="002A6BF2">
        <w:rPr>
          <w:lang w:val="en-US"/>
        </w:rPr>
        <w:t> </w:t>
      </w:r>
      <w:r w:rsidRPr="002A6BF2">
        <w:rPr>
          <w:lang w:val="en-US"/>
        </w:rPr>
        <w:t>L</w:t>
      </w:r>
      <w:r w:rsidRPr="002A6BF2">
        <w:rPr>
          <w:vertAlign w:val="superscript"/>
          <w:lang w:val="en-US"/>
        </w:rPr>
        <w:t>-1</w:t>
      </w:r>
      <w:r w:rsidRPr="002A6BF2">
        <w:rPr>
          <w:lang w:val="en-US"/>
        </w:rPr>
        <w:t xml:space="preserve"> gen</w:t>
      </w:r>
      <w:r w:rsidR="00C76946" w:rsidRPr="002A6BF2">
        <w:rPr>
          <w:lang w:val="en-US"/>
        </w:rPr>
        <w:t>t</w:t>
      </w:r>
      <w:r w:rsidRPr="002A6BF2">
        <w:rPr>
          <w:lang w:val="en-US"/>
        </w:rPr>
        <w:t>amycin</w:t>
      </w:r>
      <w:r w:rsidR="00A400D8" w:rsidRPr="002A6BF2">
        <w:rPr>
          <w:lang w:val="en-US"/>
        </w:rPr>
        <w:t xml:space="preserve"> disulfate G418</w:t>
      </w:r>
      <w:r w:rsidRPr="002A6BF2">
        <w:rPr>
          <w:lang w:val="en-US"/>
        </w:rPr>
        <w:t>; 100 mg L</w:t>
      </w:r>
      <w:r w:rsidRPr="002A6BF2">
        <w:rPr>
          <w:vertAlign w:val="superscript"/>
          <w:lang w:val="en-US"/>
        </w:rPr>
        <w:noBreakHyphen/>
        <w:t>1</w:t>
      </w:r>
      <w:r w:rsidRPr="002A6BF2">
        <w:rPr>
          <w:lang w:val="en-US"/>
        </w:rPr>
        <w:t xml:space="preserve"> ampicillin</w:t>
      </w:r>
      <w:r w:rsidR="00A400D8" w:rsidRPr="002A6BF2">
        <w:rPr>
          <w:lang w:val="en-US"/>
        </w:rPr>
        <w:t xml:space="preserve"> sodium salt</w:t>
      </w:r>
      <w:r w:rsidRPr="002A6BF2">
        <w:rPr>
          <w:lang w:val="en-US"/>
        </w:rPr>
        <w:t xml:space="preserve">; </w:t>
      </w:r>
      <w:r w:rsidR="00307644" w:rsidRPr="002A6BF2">
        <w:rPr>
          <w:lang w:val="en-US"/>
        </w:rPr>
        <w:t>50</w:t>
      </w:r>
      <w:r w:rsidR="00406791" w:rsidRPr="002A6BF2">
        <w:rPr>
          <w:lang w:val="en-US"/>
        </w:rPr>
        <w:t> </w:t>
      </w:r>
      <w:r w:rsidRPr="002A6BF2">
        <w:rPr>
          <w:lang w:val="en-US"/>
        </w:rPr>
        <w:t>mg</w:t>
      </w:r>
      <w:r w:rsidR="00406791" w:rsidRPr="002A6BF2">
        <w:rPr>
          <w:lang w:val="en-US"/>
        </w:rPr>
        <w:t> </w:t>
      </w:r>
      <w:r w:rsidRPr="002A6BF2">
        <w:rPr>
          <w:lang w:val="en-US"/>
        </w:rPr>
        <w:t>L</w:t>
      </w:r>
      <w:r w:rsidRPr="002A6BF2">
        <w:rPr>
          <w:vertAlign w:val="superscript"/>
          <w:lang w:val="en-US"/>
        </w:rPr>
        <w:t>-1</w:t>
      </w:r>
      <w:r w:rsidRPr="002A6BF2">
        <w:rPr>
          <w:lang w:val="en-US"/>
        </w:rPr>
        <w:t xml:space="preserve"> apramycin</w:t>
      </w:r>
      <w:r w:rsidR="00556028" w:rsidRPr="002A6BF2">
        <w:rPr>
          <w:lang w:val="en-US"/>
        </w:rPr>
        <w:t xml:space="preserve"> sulfate</w:t>
      </w:r>
      <w:r w:rsidR="005922AB" w:rsidRPr="002A6BF2">
        <w:rPr>
          <w:lang w:val="en-US"/>
        </w:rPr>
        <w:t>; tetracycline hydrochlorid 30 mg L</w:t>
      </w:r>
      <w:r w:rsidR="005922AB" w:rsidRPr="002A6BF2">
        <w:rPr>
          <w:vertAlign w:val="superscript"/>
          <w:lang w:val="en-US"/>
        </w:rPr>
        <w:t>-1</w:t>
      </w:r>
      <w:r w:rsidRPr="002A6BF2">
        <w:rPr>
          <w:lang w:val="en-US"/>
        </w:rPr>
        <w:t xml:space="preserve">). </w:t>
      </w:r>
      <w:r w:rsidR="00931B1E" w:rsidRPr="002A6BF2">
        <w:rPr>
          <w:lang w:val="en-US"/>
        </w:rPr>
        <w:t>LB medium contain</w:t>
      </w:r>
      <w:r w:rsidRPr="002A6BF2">
        <w:rPr>
          <w:lang w:val="en-US"/>
        </w:rPr>
        <w:t>ed</w:t>
      </w:r>
      <w:r w:rsidR="00931B1E" w:rsidRPr="002A6BF2">
        <w:rPr>
          <w:lang w:val="en-US"/>
        </w:rPr>
        <w:t xml:space="preserve"> 10 g L</w:t>
      </w:r>
      <w:r w:rsidR="00931B1E" w:rsidRPr="002A6BF2">
        <w:rPr>
          <w:vertAlign w:val="superscript"/>
          <w:lang w:val="en-US"/>
        </w:rPr>
        <w:t>−1</w:t>
      </w:r>
      <w:r w:rsidR="00931B1E" w:rsidRPr="002A6BF2">
        <w:rPr>
          <w:lang w:val="en-US"/>
        </w:rPr>
        <w:t xml:space="preserve"> peptone, 5 g L</w:t>
      </w:r>
      <w:r w:rsidR="00931B1E" w:rsidRPr="002A6BF2">
        <w:rPr>
          <w:vertAlign w:val="superscript"/>
          <w:lang w:val="en-US"/>
        </w:rPr>
        <w:t>−1</w:t>
      </w:r>
      <w:r w:rsidR="00931B1E" w:rsidRPr="002A6BF2">
        <w:rPr>
          <w:lang w:val="en-US"/>
        </w:rPr>
        <w:t xml:space="preserve"> sodium chloride, and 5 g L</w:t>
      </w:r>
      <w:r w:rsidR="00931B1E" w:rsidRPr="002A6BF2">
        <w:rPr>
          <w:vertAlign w:val="superscript"/>
          <w:lang w:val="en-US"/>
        </w:rPr>
        <w:t>−1</w:t>
      </w:r>
      <w:r w:rsidR="00931B1E" w:rsidRPr="002A6BF2">
        <w:rPr>
          <w:lang w:val="en-US"/>
        </w:rPr>
        <w:t xml:space="preserve"> yeast extract.</w:t>
      </w:r>
      <w:r w:rsidRPr="002A6BF2">
        <w:rPr>
          <w:lang w:val="en-US"/>
        </w:rPr>
        <w:t xml:space="preserve"> </w:t>
      </w:r>
      <w:r w:rsidR="00B45880" w:rsidRPr="002A6BF2">
        <w:rPr>
          <w:lang w:val="en-US"/>
        </w:rPr>
        <w:t>S</w:t>
      </w:r>
      <w:r w:rsidRPr="002A6BF2">
        <w:rPr>
          <w:lang w:val="en-US"/>
        </w:rPr>
        <w:t>olid agar plates contained 1.5% (</w:t>
      </w:r>
      <w:r w:rsidR="00C03BB2" w:rsidRPr="002A6BF2">
        <w:rPr>
          <w:lang w:val="en-US"/>
        </w:rPr>
        <w:t>w/v</w:t>
      </w:r>
      <w:r w:rsidRPr="002A6BF2">
        <w:rPr>
          <w:lang w:val="en-US"/>
        </w:rPr>
        <w:t xml:space="preserve">) agar. For selection of </w:t>
      </w:r>
      <w:r w:rsidR="0068741E" w:rsidRPr="002A6BF2">
        <w:rPr>
          <w:i/>
          <w:lang w:val="en-US"/>
        </w:rPr>
        <w:t>P. taiwanensis</w:t>
      </w:r>
      <w:r w:rsidR="0068741E" w:rsidRPr="002A6BF2">
        <w:rPr>
          <w:lang w:val="en-US"/>
        </w:rPr>
        <w:t xml:space="preserve"> </w:t>
      </w:r>
      <w:r w:rsidRPr="002A6BF2">
        <w:rPr>
          <w:lang w:val="en-US"/>
        </w:rPr>
        <w:t xml:space="preserve">after </w:t>
      </w:r>
      <w:r w:rsidR="00C03BB2" w:rsidRPr="002A6BF2">
        <w:rPr>
          <w:lang w:val="en-US"/>
        </w:rPr>
        <w:t xml:space="preserve">conjugational </w:t>
      </w:r>
      <w:r w:rsidRPr="002A6BF2">
        <w:rPr>
          <w:lang w:val="en-US"/>
        </w:rPr>
        <w:t>mating</w:t>
      </w:r>
      <w:r w:rsidR="001A1EB9" w:rsidRPr="002A6BF2">
        <w:rPr>
          <w:lang w:val="en-US"/>
        </w:rPr>
        <w:t>s</w:t>
      </w:r>
      <w:r w:rsidR="00C03BB2" w:rsidRPr="002A6BF2">
        <w:rPr>
          <w:lang w:val="en-US"/>
        </w:rPr>
        <w:t>,</w:t>
      </w:r>
      <w:r w:rsidRPr="002A6BF2">
        <w:rPr>
          <w:lang w:val="en-US"/>
        </w:rPr>
        <w:t xml:space="preserve"> </w:t>
      </w:r>
      <w:r w:rsidR="00894228" w:rsidRPr="002A6BF2">
        <w:rPr>
          <w:lang w:val="en-US"/>
        </w:rPr>
        <w:t>c</w:t>
      </w:r>
      <w:r w:rsidRPr="002A6BF2">
        <w:rPr>
          <w:lang w:val="en-US"/>
        </w:rPr>
        <w:t xml:space="preserve">etrimide </w:t>
      </w:r>
      <w:r w:rsidR="00894228" w:rsidRPr="002A6BF2">
        <w:rPr>
          <w:lang w:val="en-US"/>
        </w:rPr>
        <w:t>a</w:t>
      </w:r>
      <w:r w:rsidRPr="002A6BF2">
        <w:rPr>
          <w:lang w:val="en-US"/>
        </w:rPr>
        <w:t>gar (Sigma</w:t>
      </w:r>
      <w:r w:rsidR="002E3583" w:rsidRPr="002A6BF2">
        <w:rPr>
          <w:lang w:val="en-US"/>
        </w:rPr>
        <w:t>-Aldrich</w:t>
      </w:r>
      <w:r w:rsidRPr="002A6BF2">
        <w:rPr>
          <w:lang w:val="en-US"/>
        </w:rPr>
        <w:t>)</w:t>
      </w:r>
      <w:r w:rsidR="005B11E6" w:rsidRPr="002A6BF2">
        <w:rPr>
          <w:lang w:val="en-US"/>
        </w:rPr>
        <w:t xml:space="preserve"> with 10 mL L</w:t>
      </w:r>
      <w:r w:rsidR="005B11E6" w:rsidRPr="002A6BF2">
        <w:rPr>
          <w:vertAlign w:val="superscript"/>
          <w:lang w:val="en-US"/>
        </w:rPr>
        <w:t>-1</w:t>
      </w:r>
      <w:r w:rsidR="005B11E6" w:rsidRPr="002A6BF2">
        <w:rPr>
          <w:lang w:val="en-US"/>
        </w:rPr>
        <w:t xml:space="preserve"> glycerol</w:t>
      </w:r>
      <w:r w:rsidRPr="002A6BF2">
        <w:rPr>
          <w:lang w:val="en-US"/>
        </w:rPr>
        <w:t xml:space="preserve"> or </w:t>
      </w:r>
      <w:r w:rsidR="00C03BB2" w:rsidRPr="002A6BF2">
        <w:rPr>
          <w:lang w:val="en-US"/>
        </w:rPr>
        <w:t>LB with</w:t>
      </w:r>
      <w:r w:rsidRPr="002A6BF2">
        <w:rPr>
          <w:lang w:val="en-US"/>
        </w:rPr>
        <w:t xml:space="preserve"> 25 mg L</w:t>
      </w:r>
      <w:r w:rsidR="00655A9B" w:rsidRPr="002A6BF2">
        <w:rPr>
          <w:vertAlign w:val="superscript"/>
          <w:lang w:val="en-US"/>
        </w:rPr>
        <w:noBreakHyphen/>
      </w:r>
      <w:r w:rsidRPr="002A6BF2">
        <w:rPr>
          <w:vertAlign w:val="superscript"/>
          <w:lang w:val="en-US"/>
        </w:rPr>
        <w:t>1</w:t>
      </w:r>
      <w:r w:rsidRPr="002A6BF2">
        <w:rPr>
          <w:lang w:val="en-US"/>
        </w:rPr>
        <w:t xml:space="preserve"> irgasan</w:t>
      </w:r>
      <w:r w:rsidR="003E2CF7" w:rsidRPr="002A6BF2">
        <w:rPr>
          <w:lang w:val="en-US"/>
        </w:rPr>
        <w:t xml:space="preserve"> (triclosan)</w:t>
      </w:r>
      <w:r w:rsidR="000A5929" w:rsidRPr="002A6BF2">
        <w:rPr>
          <w:lang w:val="en-US"/>
        </w:rPr>
        <w:t xml:space="preserve"> </w:t>
      </w:r>
      <w:r w:rsidRPr="002A6BF2">
        <w:rPr>
          <w:lang w:val="en-US"/>
        </w:rPr>
        <w:t>were used.</w:t>
      </w:r>
      <w:r w:rsidR="00894228" w:rsidRPr="002A6BF2">
        <w:rPr>
          <w:lang w:val="en-US"/>
        </w:rPr>
        <w:t xml:space="preserve"> Strains and plasmids used </w:t>
      </w:r>
      <w:r w:rsidR="00B03062" w:rsidRPr="002A6BF2">
        <w:rPr>
          <w:lang w:val="en-US"/>
        </w:rPr>
        <w:t xml:space="preserve">or </w:t>
      </w:r>
      <w:r w:rsidR="00C03BB2" w:rsidRPr="002A6BF2">
        <w:rPr>
          <w:lang w:val="en-US"/>
        </w:rPr>
        <w:t xml:space="preserve">generated </w:t>
      </w:r>
      <w:r w:rsidR="00894228" w:rsidRPr="002A6BF2">
        <w:rPr>
          <w:lang w:val="en-US"/>
        </w:rPr>
        <w:t xml:space="preserve">in this study </w:t>
      </w:r>
      <w:r w:rsidR="004B6252" w:rsidRPr="002A6BF2">
        <w:rPr>
          <w:lang w:val="en-US"/>
        </w:rPr>
        <w:t xml:space="preserve">are shown </w:t>
      </w:r>
      <w:r w:rsidR="00894228" w:rsidRPr="002A6BF2">
        <w:rPr>
          <w:lang w:val="en-US"/>
        </w:rPr>
        <w:t xml:space="preserve">in </w:t>
      </w:r>
      <w:r w:rsidR="00A46AA7" w:rsidRPr="002A6BF2">
        <w:rPr>
          <w:lang w:val="en-US"/>
        </w:rPr>
        <w:t xml:space="preserve">Supplementary </w:t>
      </w:r>
      <w:r w:rsidR="008F52BF" w:rsidRPr="002A6BF2">
        <w:rPr>
          <w:lang w:val="en-US"/>
        </w:rPr>
        <w:t>T</w:t>
      </w:r>
      <w:r w:rsidR="00894228" w:rsidRPr="002A6BF2">
        <w:rPr>
          <w:lang w:val="en-US"/>
        </w:rPr>
        <w:t xml:space="preserve">able </w:t>
      </w:r>
      <w:r w:rsidR="00A46AA7" w:rsidRPr="002A6BF2">
        <w:rPr>
          <w:lang w:val="en-US"/>
        </w:rPr>
        <w:t>S</w:t>
      </w:r>
      <w:r w:rsidR="00C4010B" w:rsidRPr="002A6BF2">
        <w:rPr>
          <w:lang w:val="en-US"/>
        </w:rPr>
        <w:t xml:space="preserve">1 </w:t>
      </w:r>
      <w:r w:rsidR="00894228" w:rsidRPr="002A6BF2">
        <w:rPr>
          <w:lang w:val="en-US"/>
        </w:rPr>
        <w:t xml:space="preserve">and </w:t>
      </w:r>
      <w:r w:rsidR="005C4000" w:rsidRPr="002A6BF2">
        <w:rPr>
          <w:lang w:val="en-US"/>
        </w:rPr>
        <w:t xml:space="preserve">Supplementary </w:t>
      </w:r>
      <w:r w:rsidR="008F52BF" w:rsidRPr="002A6BF2">
        <w:rPr>
          <w:lang w:val="en-US"/>
        </w:rPr>
        <w:t>T</w:t>
      </w:r>
      <w:r w:rsidR="00894228" w:rsidRPr="002A6BF2">
        <w:rPr>
          <w:lang w:val="en-US"/>
        </w:rPr>
        <w:t xml:space="preserve">able </w:t>
      </w:r>
      <w:r w:rsidR="00A46AA7" w:rsidRPr="002A6BF2">
        <w:rPr>
          <w:lang w:val="en-US"/>
        </w:rPr>
        <w:t>S2</w:t>
      </w:r>
      <w:r w:rsidR="004B6252" w:rsidRPr="002A6BF2">
        <w:rPr>
          <w:lang w:val="en-US"/>
        </w:rPr>
        <w:t>, respectively</w:t>
      </w:r>
      <w:r w:rsidR="00894228" w:rsidRPr="002A6BF2">
        <w:rPr>
          <w:lang w:val="en-US"/>
        </w:rPr>
        <w:t xml:space="preserve">. </w:t>
      </w:r>
      <w:r w:rsidR="005B5C9F" w:rsidRPr="002A6BF2">
        <w:rPr>
          <w:lang w:val="en-US"/>
        </w:rPr>
        <w:t>The strains are available upon request.</w:t>
      </w:r>
    </w:p>
    <w:p w14:paraId="7E8E6B54" w14:textId="24C1078F" w:rsidR="007930B1" w:rsidRPr="002A6BF2" w:rsidRDefault="000A5929" w:rsidP="00B84A00">
      <w:pPr>
        <w:spacing w:line="276" w:lineRule="auto"/>
        <w:jc w:val="both"/>
        <w:rPr>
          <w:lang w:val="en-US"/>
        </w:rPr>
      </w:pPr>
      <w:r w:rsidRPr="002A6BF2">
        <w:rPr>
          <w:lang w:val="en-US"/>
        </w:rPr>
        <w:t>G</w:t>
      </w:r>
      <w:r w:rsidR="002E3583" w:rsidRPr="002A6BF2">
        <w:rPr>
          <w:lang w:val="en-US"/>
        </w:rPr>
        <w:t>rowth and production experiments</w:t>
      </w:r>
      <w:r w:rsidRPr="002A6BF2">
        <w:rPr>
          <w:lang w:val="en-US"/>
        </w:rPr>
        <w:t xml:space="preserve"> started with a liquid LB </w:t>
      </w:r>
      <w:r w:rsidR="00C10D87" w:rsidRPr="002A6BF2">
        <w:rPr>
          <w:lang w:val="en-US"/>
        </w:rPr>
        <w:t xml:space="preserve">seed </w:t>
      </w:r>
      <w:r w:rsidRPr="002A6BF2">
        <w:rPr>
          <w:lang w:val="en-US"/>
        </w:rPr>
        <w:t>culture inoculated from cryo</w:t>
      </w:r>
      <w:r w:rsidRPr="002A6BF2">
        <w:rPr>
          <w:lang w:val="en-US"/>
        </w:rPr>
        <w:noBreakHyphen/>
        <w:t>conserved stock, followed by an adaptation and main culture in</w:t>
      </w:r>
      <w:r w:rsidR="002E3583" w:rsidRPr="002A6BF2">
        <w:rPr>
          <w:lang w:val="en-US"/>
        </w:rPr>
        <w:t xml:space="preserve"> mineral salt medium (MSM)</w:t>
      </w:r>
      <w:r w:rsidR="00344790" w:rsidRPr="002A6BF2">
        <w:rPr>
          <w:lang w:val="en-US"/>
        </w:rPr>
        <w:t xml:space="preserve"> adapted from </w:t>
      </w:r>
      <w:r w:rsidR="00344790" w:rsidRPr="002A6BF2">
        <w:rPr>
          <w:lang w:val="en-US"/>
        </w:rPr>
        <w:fldChar w:fldCharType="begin" w:fldLock="1"/>
      </w:r>
      <w:r w:rsidR="00D40894" w:rsidRPr="002A6BF2">
        <w:rPr>
          <w:lang w:val="en-US"/>
        </w:rPr>
        <w:instrText>ADDIN CSL_CITATION {"citationItems":[{"id":"ITEM-1","itemData":{"DOI":"10.1128/aem.55.11.2850-2855.1989","ISSN":"00992240","PMID":"16348047","abstract":"Styrene oxide and 2-phenylethanol metabolism in the styrene-degrading Xanthobacter sp. strain 124X was shown to proceed via phenylacetaldehyde and phenylacetic acid. In cell extracts 2-phenylethanol was oxidized by a phenazine methosulfate-dependent enzyme, probably a pyrroloquinoline quinone enzyme. Xanthobacter sp. strain 124X also contains a novel enzymatic activity designated as styrene oxide isomerase. Styrene oxide isomerase catalyzes the isomerization of styrene oxide to phenylacetaldehyde. The enzyme was partially purified and shown to have a very high substrate specificity. Of the epoxides tested, styrene oxide was the only substrate transformed. The initial step in styrene metabolism in Xanthobacter sp. strain 124X is oxygen dependent and probably involves oxidation of the aromatic nucleus.","author":[{"dropping-particle":"","family":"Hartmans","given":"S.","non-dropping-particle":"","parse-names":false,"suffix":""},{"dropping-particle":"","family":"Smits","given":"J. P.","non-dropping-particle":"","parse-names":false,"suffix":""},{"dropping-particle":"","family":"Werf","given":"M. J.","non-dropping-particle":"Van der","parse-names":false,"suffix":""},{"dropping-particle":"","family":"Volkering","given":"F.","non-dropping-particle":"","parse-names":false,"suffix":""},{"dropping-particle":"","family":"Bont","given":"J. A.M.","non-dropping-particle":"De","parse-names":false,"suffix":""}],"container-title":"Applied and Environmental Microbiology","id":"ITEM-1","issue":"11","issued":{"date-parts":[["1989"]]},"page":"2850-2855","title":"Metabolism of Styrene Oxide and 2-Phenylethanol in the Styrene-Degrading &lt;i&gt;Xanthobacter&lt;/i&gt; Strain 124X","type":"article-journal","volume":"55"},"uris":["http://www.mendeley.com/documents/?uuid=9f244f2a-77f8-41bf-9650-b8d5b1c20050"]}],"mendeley":{"formattedCitation":"(Hartmans et al., 1989)","manualFormatting":"Hartmans et al. (1989)","plainTextFormattedCitation":"(Hartmans et al., 1989)","previouslyFormattedCitation":"(Hartmans et al., 1989)"},"properties":{"noteIndex":0},"schema":"https://github.com/citation-style-language/schema/raw/master/csl-citation.json"}</w:instrText>
      </w:r>
      <w:r w:rsidR="00344790" w:rsidRPr="002A6BF2">
        <w:rPr>
          <w:lang w:val="en-US"/>
        </w:rPr>
        <w:fldChar w:fldCharType="separate"/>
      </w:r>
      <w:r w:rsidR="00344790" w:rsidRPr="002A6BF2">
        <w:rPr>
          <w:noProof/>
          <w:lang w:val="en-US"/>
        </w:rPr>
        <w:t xml:space="preserve">Hartmans </w:t>
      </w:r>
      <w:r w:rsidR="00344790" w:rsidRPr="002A6BF2">
        <w:rPr>
          <w:i/>
          <w:noProof/>
          <w:lang w:val="en-US"/>
        </w:rPr>
        <w:t>et al.</w:t>
      </w:r>
      <w:r w:rsidR="00344790" w:rsidRPr="002A6BF2">
        <w:rPr>
          <w:noProof/>
          <w:lang w:val="en-US"/>
        </w:rPr>
        <w:t xml:space="preserve"> (1989)</w:t>
      </w:r>
      <w:r w:rsidR="00344790" w:rsidRPr="002A6BF2">
        <w:rPr>
          <w:lang w:val="en-US"/>
        </w:rPr>
        <w:fldChar w:fldCharType="end"/>
      </w:r>
      <w:r w:rsidR="002E3583" w:rsidRPr="002A6BF2">
        <w:rPr>
          <w:lang w:val="en-US"/>
        </w:rPr>
        <w:t xml:space="preserve"> </w:t>
      </w:r>
      <w:r w:rsidR="0048223E" w:rsidRPr="002A6BF2">
        <w:rPr>
          <w:lang w:val="en-US"/>
        </w:rPr>
        <w:t xml:space="preserve">at pH 7 </w:t>
      </w:r>
      <w:r w:rsidR="002E3583" w:rsidRPr="002A6BF2">
        <w:rPr>
          <w:lang w:val="en-US"/>
        </w:rPr>
        <w:t>with varying carbon sources and antibiotics if necessary.</w:t>
      </w:r>
      <w:r w:rsidR="0048223E" w:rsidRPr="002A6BF2">
        <w:rPr>
          <w:lang w:val="en-US"/>
        </w:rPr>
        <w:t xml:space="preserve"> The medium buffer components (22.3 mM K</w:t>
      </w:r>
      <w:r w:rsidR="0048223E" w:rsidRPr="002A6BF2">
        <w:rPr>
          <w:vertAlign w:val="subscript"/>
          <w:lang w:val="en-US"/>
        </w:rPr>
        <w:t>2</w:t>
      </w:r>
      <w:r w:rsidR="0048223E" w:rsidRPr="002A6BF2">
        <w:rPr>
          <w:lang w:val="en-US"/>
        </w:rPr>
        <w:t>HPO</w:t>
      </w:r>
      <w:r w:rsidR="0048223E" w:rsidRPr="002A6BF2">
        <w:rPr>
          <w:vertAlign w:val="subscript"/>
          <w:lang w:val="en-US"/>
        </w:rPr>
        <w:t>4</w:t>
      </w:r>
      <w:r w:rsidR="0048223E" w:rsidRPr="002A6BF2">
        <w:rPr>
          <w:lang w:val="en-US"/>
        </w:rPr>
        <w:t xml:space="preserve"> and 13.6 mM NaH</w:t>
      </w:r>
      <w:r w:rsidR="0048223E" w:rsidRPr="002A6BF2">
        <w:rPr>
          <w:vertAlign w:val="subscript"/>
          <w:lang w:val="en-US"/>
        </w:rPr>
        <w:t>2</w:t>
      </w:r>
      <w:r w:rsidR="0048223E" w:rsidRPr="002A6BF2">
        <w:rPr>
          <w:lang w:val="en-US"/>
        </w:rPr>
        <w:t>PO</w:t>
      </w:r>
      <w:r w:rsidR="0048223E" w:rsidRPr="002A6BF2">
        <w:rPr>
          <w:vertAlign w:val="subscript"/>
          <w:lang w:val="en-US"/>
        </w:rPr>
        <w:t>4</w:t>
      </w:r>
      <w:r w:rsidR="0048223E" w:rsidRPr="002A6BF2">
        <w:rPr>
          <w:lang w:val="en-US"/>
        </w:rPr>
        <w:t xml:space="preserve">) were </w:t>
      </w:r>
      <w:r w:rsidR="00C83DDC" w:rsidRPr="002A6BF2">
        <w:rPr>
          <w:lang w:val="en-US"/>
        </w:rPr>
        <w:t>ad</w:t>
      </w:r>
      <w:r w:rsidR="00093107" w:rsidRPr="002A6BF2">
        <w:rPr>
          <w:lang w:val="en-US"/>
        </w:rPr>
        <w:t>ded</w:t>
      </w:r>
      <w:r w:rsidR="00B470E7" w:rsidRPr="002A6BF2">
        <w:rPr>
          <w:lang w:val="en-US"/>
        </w:rPr>
        <w:t xml:space="preserve"> </w:t>
      </w:r>
      <w:r w:rsidR="008A1E51" w:rsidRPr="002A6BF2">
        <w:rPr>
          <w:lang w:val="en-US"/>
        </w:rPr>
        <w:t xml:space="preserve">1- to </w:t>
      </w:r>
      <w:r w:rsidR="00C10D87" w:rsidRPr="002A6BF2">
        <w:rPr>
          <w:lang w:val="en-US"/>
        </w:rPr>
        <w:t>3</w:t>
      </w:r>
      <w:r w:rsidR="0048223E" w:rsidRPr="002A6BF2">
        <w:rPr>
          <w:lang w:val="en-US"/>
        </w:rPr>
        <w:t>-fold</w:t>
      </w:r>
      <w:r w:rsidR="00805BD0" w:rsidRPr="002A6BF2">
        <w:rPr>
          <w:lang w:val="en-US"/>
        </w:rPr>
        <w:t>.</w:t>
      </w:r>
      <w:r w:rsidR="002E3583" w:rsidRPr="002A6BF2">
        <w:rPr>
          <w:lang w:val="en-US"/>
        </w:rPr>
        <w:t xml:space="preserve"> Cerulenin </w:t>
      </w:r>
      <w:r w:rsidR="005922AB" w:rsidRPr="002A6BF2">
        <w:rPr>
          <w:lang w:val="en-US"/>
        </w:rPr>
        <w:t xml:space="preserve">(Sigma-Aldrich) </w:t>
      </w:r>
      <w:r w:rsidR="002E3583" w:rsidRPr="002A6BF2">
        <w:rPr>
          <w:lang w:val="en-US"/>
        </w:rPr>
        <w:t xml:space="preserve">(freshly </w:t>
      </w:r>
      <w:r w:rsidR="00B12425" w:rsidRPr="002A6BF2">
        <w:rPr>
          <w:lang w:val="en-US"/>
        </w:rPr>
        <w:t xml:space="preserve">dissolved </w:t>
      </w:r>
      <w:r w:rsidR="002E3583" w:rsidRPr="002A6BF2">
        <w:rPr>
          <w:lang w:val="en-US"/>
        </w:rPr>
        <w:t>in ethanol</w:t>
      </w:r>
      <w:r w:rsidRPr="002A6BF2">
        <w:rPr>
          <w:lang w:val="en-US"/>
        </w:rPr>
        <w:t xml:space="preserve"> or methanol when indicated</w:t>
      </w:r>
      <w:r w:rsidR="002E3583" w:rsidRPr="002A6BF2">
        <w:rPr>
          <w:lang w:val="en-US"/>
        </w:rPr>
        <w:t>) was added</w:t>
      </w:r>
      <w:r w:rsidR="00B12425" w:rsidRPr="002A6BF2">
        <w:rPr>
          <w:lang w:val="en-US"/>
        </w:rPr>
        <w:t xml:space="preserve"> to a final concentration of</w:t>
      </w:r>
      <w:r w:rsidR="002E3583" w:rsidRPr="002A6BF2">
        <w:rPr>
          <w:lang w:val="en-US"/>
        </w:rPr>
        <w:t xml:space="preserve"> 180 µM in </w:t>
      </w:r>
      <w:r w:rsidR="00B12425" w:rsidRPr="002A6BF2">
        <w:rPr>
          <w:lang w:val="en-US"/>
        </w:rPr>
        <w:t xml:space="preserve">indicated </w:t>
      </w:r>
      <w:r w:rsidR="002E3583" w:rsidRPr="002A6BF2">
        <w:rPr>
          <w:lang w:val="en-US"/>
        </w:rPr>
        <w:t xml:space="preserve">experiments. </w:t>
      </w:r>
      <w:r w:rsidR="0048223E" w:rsidRPr="002A6BF2">
        <w:rPr>
          <w:lang w:val="en-US"/>
        </w:rPr>
        <w:t>Glucose was applied at 30 mM in production cultures and 20</w:t>
      </w:r>
      <w:r w:rsidR="00C174F4" w:rsidRPr="002A6BF2">
        <w:rPr>
          <w:lang w:val="en-US"/>
        </w:rPr>
        <w:t> </w:t>
      </w:r>
      <w:r w:rsidR="0048223E" w:rsidRPr="002A6BF2">
        <w:rPr>
          <w:lang w:val="en-US"/>
        </w:rPr>
        <w:t xml:space="preserve">mM in </w:t>
      </w:r>
      <w:r w:rsidRPr="002A6BF2">
        <w:rPr>
          <w:lang w:val="en-US"/>
        </w:rPr>
        <w:t>adaptation</w:t>
      </w:r>
      <w:r w:rsidR="0048223E" w:rsidRPr="002A6BF2">
        <w:rPr>
          <w:lang w:val="en-US"/>
        </w:rPr>
        <w:t xml:space="preserve"> precultures.</w:t>
      </w:r>
      <w:r w:rsidR="00805BD0" w:rsidRPr="002A6BF2">
        <w:rPr>
          <w:lang w:val="en-US"/>
        </w:rPr>
        <w:t xml:space="preserve"> The nitrogen concentration of 2 g L</w:t>
      </w:r>
      <w:r w:rsidR="00805BD0" w:rsidRPr="002A6BF2">
        <w:rPr>
          <w:vertAlign w:val="superscript"/>
          <w:lang w:val="en-US"/>
        </w:rPr>
        <w:t>-1</w:t>
      </w:r>
      <w:r w:rsidR="00805BD0" w:rsidRPr="002A6BF2">
        <w:rPr>
          <w:lang w:val="en-US"/>
        </w:rPr>
        <w:t xml:space="preserve"> (NH</w:t>
      </w:r>
      <w:r w:rsidR="00805BD0" w:rsidRPr="002A6BF2">
        <w:rPr>
          <w:vertAlign w:val="subscript"/>
          <w:lang w:val="en-US"/>
        </w:rPr>
        <w:t>4</w:t>
      </w:r>
      <w:r w:rsidR="00805BD0" w:rsidRPr="002A6BF2">
        <w:rPr>
          <w:lang w:val="en-US"/>
        </w:rPr>
        <w:t>)</w:t>
      </w:r>
      <w:r w:rsidR="00805BD0" w:rsidRPr="002A6BF2">
        <w:rPr>
          <w:vertAlign w:val="subscript"/>
          <w:lang w:val="en-US"/>
        </w:rPr>
        <w:t>2</w:t>
      </w:r>
      <w:r w:rsidR="00805BD0" w:rsidRPr="002A6BF2">
        <w:rPr>
          <w:lang w:val="en-US"/>
        </w:rPr>
        <w:t>SO</w:t>
      </w:r>
      <w:r w:rsidR="00805BD0" w:rsidRPr="002A6BF2">
        <w:rPr>
          <w:vertAlign w:val="subscript"/>
          <w:lang w:val="en-US"/>
        </w:rPr>
        <w:t>4</w:t>
      </w:r>
      <w:r w:rsidR="00805BD0" w:rsidRPr="002A6BF2">
        <w:rPr>
          <w:lang w:val="en-US"/>
        </w:rPr>
        <w:t xml:space="preserve"> (</w:t>
      </w:r>
      <w:r w:rsidR="00805BD0" w:rsidRPr="002A6BF2">
        <w:rPr>
          <w:rFonts w:cstheme="minorHAnsi"/>
          <w:lang w:val="en-US"/>
        </w:rPr>
        <w:t>≈</w:t>
      </w:r>
      <w:r w:rsidR="00805BD0" w:rsidRPr="002A6BF2">
        <w:rPr>
          <w:lang w:val="en-US"/>
        </w:rPr>
        <w:t>30 mM NH</w:t>
      </w:r>
      <w:r w:rsidR="00805BD0" w:rsidRPr="002A6BF2">
        <w:rPr>
          <w:vertAlign w:val="subscript"/>
          <w:lang w:val="en-US"/>
        </w:rPr>
        <w:t>4</w:t>
      </w:r>
      <w:r w:rsidR="00805BD0" w:rsidRPr="002A6BF2">
        <w:rPr>
          <w:vertAlign w:val="superscript"/>
          <w:lang w:val="en-US"/>
        </w:rPr>
        <w:t>+</w:t>
      </w:r>
      <w:r w:rsidR="00805BD0" w:rsidRPr="002A6BF2">
        <w:rPr>
          <w:lang w:val="en-US"/>
        </w:rPr>
        <w:t xml:space="preserve">) </w:t>
      </w:r>
      <w:r w:rsidR="00B12425" w:rsidRPr="002A6BF2">
        <w:rPr>
          <w:lang w:val="en-US"/>
        </w:rPr>
        <w:t xml:space="preserve">was </w:t>
      </w:r>
      <w:r w:rsidR="00805BD0" w:rsidRPr="002A6BF2">
        <w:rPr>
          <w:lang w:val="en-US"/>
        </w:rPr>
        <w:t xml:space="preserve">reduced </w:t>
      </w:r>
      <w:r w:rsidR="00C80570" w:rsidRPr="002A6BF2">
        <w:rPr>
          <w:lang w:val="en-US"/>
        </w:rPr>
        <w:t>for nitrogen-limit</w:t>
      </w:r>
      <w:r w:rsidR="00AD15C2" w:rsidRPr="002A6BF2">
        <w:rPr>
          <w:lang w:val="en-US"/>
        </w:rPr>
        <w:t>ing</w:t>
      </w:r>
      <w:r w:rsidR="00C80570" w:rsidRPr="002A6BF2">
        <w:rPr>
          <w:lang w:val="en-US"/>
        </w:rPr>
        <w:t xml:space="preserve"> conditions </w:t>
      </w:r>
      <w:r w:rsidR="00805BD0" w:rsidRPr="002A6BF2">
        <w:rPr>
          <w:lang w:val="en-US"/>
        </w:rPr>
        <w:t>to 0.333 g L</w:t>
      </w:r>
      <w:r w:rsidR="00805BD0" w:rsidRPr="002A6BF2">
        <w:rPr>
          <w:vertAlign w:val="superscript"/>
          <w:lang w:val="en-US"/>
        </w:rPr>
        <w:t>-1</w:t>
      </w:r>
      <w:r w:rsidR="00805BD0" w:rsidRPr="002A6BF2">
        <w:rPr>
          <w:lang w:val="en-US"/>
        </w:rPr>
        <w:t xml:space="preserve"> (</w:t>
      </w:r>
      <w:r w:rsidR="00805BD0" w:rsidRPr="002A6BF2">
        <w:rPr>
          <w:rFonts w:cstheme="minorHAnsi"/>
          <w:lang w:val="en-US"/>
        </w:rPr>
        <w:t>≈</w:t>
      </w:r>
      <w:r w:rsidR="00805BD0" w:rsidRPr="002A6BF2">
        <w:rPr>
          <w:lang w:val="en-US"/>
        </w:rPr>
        <w:t>5.05 mM NH</w:t>
      </w:r>
      <w:r w:rsidR="00805BD0" w:rsidRPr="002A6BF2">
        <w:rPr>
          <w:vertAlign w:val="subscript"/>
          <w:lang w:val="en-US"/>
        </w:rPr>
        <w:t>4</w:t>
      </w:r>
      <w:r w:rsidR="00805BD0" w:rsidRPr="002A6BF2">
        <w:rPr>
          <w:vertAlign w:val="superscript"/>
          <w:lang w:val="en-US"/>
        </w:rPr>
        <w:t>+</w:t>
      </w:r>
      <w:r w:rsidR="00805BD0" w:rsidRPr="002A6BF2">
        <w:rPr>
          <w:lang w:val="en-US"/>
        </w:rPr>
        <w:t>)</w:t>
      </w:r>
      <w:r w:rsidR="00B12425" w:rsidRPr="002A6BF2">
        <w:rPr>
          <w:lang w:val="en-US"/>
        </w:rPr>
        <w:t>,</w:t>
      </w:r>
      <w:r w:rsidR="00805BD0" w:rsidRPr="002A6BF2">
        <w:rPr>
          <w:lang w:val="en-US"/>
        </w:rPr>
        <w:t xml:space="preserve"> which corresponds to a C/N ratio of </w:t>
      </w:r>
      <w:r w:rsidR="00833F0A" w:rsidRPr="002A6BF2">
        <w:rPr>
          <w:lang w:val="en-US"/>
        </w:rPr>
        <w:t>6:</w:t>
      </w:r>
      <w:r w:rsidR="00805BD0" w:rsidRPr="002A6BF2">
        <w:rPr>
          <w:lang w:val="en-US"/>
        </w:rPr>
        <w:t>1 under normal conditions and 36</w:t>
      </w:r>
      <w:r w:rsidR="00BF4F02" w:rsidRPr="002A6BF2">
        <w:rPr>
          <w:lang w:val="en-US"/>
        </w:rPr>
        <w:t>:1</w:t>
      </w:r>
      <w:r w:rsidR="00805BD0" w:rsidRPr="002A6BF2">
        <w:rPr>
          <w:lang w:val="en-US"/>
        </w:rPr>
        <w:t xml:space="preserve"> when 30 mM glucose </w:t>
      </w:r>
      <w:r w:rsidR="00B12425" w:rsidRPr="002A6BF2">
        <w:rPr>
          <w:lang w:val="en-US"/>
        </w:rPr>
        <w:t>wa</w:t>
      </w:r>
      <w:r w:rsidR="00805BD0" w:rsidRPr="002A6BF2">
        <w:rPr>
          <w:lang w:val="en-US"/>
        </w:rPr>
        <w:t>s used.</w:t>
      </w:r>
      <w:r w:rsidR="0048223E" w:rsidRPr="002A6BF2">
        <w:rPr>
          <w:lang w:val="en-US"/>
        </w:rPr>
        <w:t xml:space="preserve"> </w:t>
      </w:r>
      <w:r w:rsidR="0092526F" w:rsidRPr="002A6BF2">
        <w:rPr>
          <w:lang w:val="en-US"/>
        </w:rPr>
        <w:t xml:space="preserve">MSM adaptation </w:t>
      </w:r>
      <w:r w:rsidR="0092526F" w:rsidRPr="002A6BF2">
        <w:rPr>
          <w:lang w:val="en-US"/>
        </w:rPr>
        <w:lastRenderedPageBreak/>
        <w:t>cultures were inoculated from LB seed cultures to an initial OD</w:t>
      </w:r>
      <w:r w:rsidR="0092526F" w:rsidRPr="002A6BF2">
        <w:rPr>
          <w:vertAlign w:val="subscript"/>
          <w:lang w:val="en-US"/>
        </w:rPr>
        <w:t>600</w:t>
      </w:r>
      <w:r w:rsidR="0092526F" w:rsidRPr="002A6BF2">
        <w:rPr>
          <w:lang w:val="en-US"/>
        </w:rPr>
        <w:t xml:space="preserve"> of 0.2. In biotransformation experiments </w:t>
      </w:r>
      <w:r w:rsidR="008B2DD7" w:rsidRPr="002A6BF2">
        <w:rPr>
          <w:lang w:val="en-US"/>
        </w:rPr>
        <w:t xml:space="preserve">a </w:t>
      </w:r>
      <w:r w:rsidR="0092526F" w:rsidRPr="002A6BF2">
        <w:rPr>
          <w:lang w:val="en-US"/>
        </w:rPr>
        <w:t>higher initial OD</w:t>
      </w:r>
      <w:r w:rsidR="0092526F" w:rsidRPr="002A6BF2">
        <w:rPr>
          <w:vertAlign w:val="subscript"/>
          <w:lang w:val="en-US"/>
        </w:rPr>
        <w:t>600</w:t>
      </w:r>
      <w:r w:rsidR="0092526F" w:rsidRPr="002A6BF2">
        <w:rPr>
          <w:lang w:val="en-US"/>
        </w:rPr>
        <w:t xml:space="preserve"> w</w:t>
      </w:r>
      <w:r w:rsidR="008B2DD7" w:rsidRPr="002A6BF2">
        <w:rPr>
          <w:lang w:val="en-US"/>
        </w:rPr>
        <w:t>as</w:t>
      </w:r>
      <w:r w:rsidR="0092526F" w:rsidRPr="002A6BF2">
        <w:rPr>
          <w:lang w:val="en-US"/>
        </w:rPr>
        <w:t xml:space="preserve"> used in main cultures as indicated for the respective experiment</w:t>
      </w:r>
      <w:r w:rsidR="0048223E" w:rsidRPr="002A6BF2">
        <w:rPr>
          <w:lang w:val="en-US"/>
        </w:rPr>
        <w:t>.</w:t>
      </w:r>
      <w:r w:rsidR="007C0B9A" w:rsidRPr="002A6BF2">
        <w:rPr>
          <w:lang w:val="en-US"/>
        </w:rPr>
        <w:t xml:space="preserve"> </w:t>
      </w:r>
      <w:r w:rsidR="00710BC7" w:rsidRPr="002A6BF2">
        <w:rPr>
          <w:lang w:val="en-US"/>
        </w:rPr>
        <w:t xml:space="preserve">Production experiments were performed in </w:t>
      </w:r>
      <w:r w:rsidR="00CA26AE" w:rsidRPr="002A6BF2">
        <w:rPr>
          <w:lang w:val="en-US"/>
        </w:rPr>
        <w:t>100</w:t>
      </w:r>
      <w:r w:rsidR="0058668A">
        <w:rPr>
          <w:lang w:val="en-US"/>
        </w:rPr>
        <w:t xml:space="preserve"> </w:t>
      </w:r>
      <w:r w:rsidR="00710BC7" w:rsidRPr="002A6BF2">
        <w:rPr>
          <w:lang w:val="en-US"/>
        </w:rPr>
        <w:t xml:space="preserve">mL Erlenmeyer flasks with 10 mL filling volume or in 24 square well System Duetz </w:t>
      </w:r>
      <w:r w:rsidR="00AD15C2" w:rsidRPr="002A6BF2">
        <w:rPr>
          <w:lang w:val="en-US"/>
        </w:rPr>
        <w:t>plates</w:t>
      </w:r>
      <w:r w:rsidR="007930B1" w:rsidRPr="002A6BF2">
        <w:rPr>
          <w:lang w:val="en-US"/>
        </w:rPr>
        <w:t xml:space="preserve"> (EnzyScreen, Leiden, Netherlands)</w:t>
      </w:r>
      <w:r w:rsidR="00710BC7" w:rsidRPr="002A6BF2">
        <w:rPr>
          <w:lang w:val="en-US"/>
        </w:rPr>
        <w:t xml:space="preserve"> with 1.5 mL filling volume. Cultures were shaken at</w:t>
      </w:r>
      <w:r w:rsidR="008C334A" w:rsidRPr="002A6BF2">
        <w:rPr>
          <w:lang w:val="en-US"/>
        </w:rPr>
        <w:t xml:space="preserve"> a frequency of</w:t>
      </w:r>
      <w:r w:rsidR="00710BC7" w:rsidRPr="002A6BF2">
        <w:rPr>
          <w:lang w:val="en-US"/>
        </w:rPr>
        <w:t xml:space="preserve"> 200 rpm</w:t>
      </w:r>
      <w:r w:rsidR="00B12425" w:rsidRPr="002A6BF2">
        <w:rPr>
          <w:lang w:val="en-US"/>
        </w:rPr>
        <w:t xml:space="preserve"> (shake flasks)</w:t>
      </w:r>
      <w:r w:rsidR="00710BC7" w:rsidRPr="002A6BF2">
        <w:rPr>
          <w:lang w:val="en-US"/>
        </w:rPr>
        <w:t xml:space="preserve"> or 300 rpm</w:t>
      </w:r>
      <w:r w:rsidR="00B12425" w:rsidRPr="002A6BF2">
        <w:rPr>
          <w:lang w:val="en-US"/>
        </w:rPr>
        <w:t xml:space="preserve"> (</w:t>
      </w:r>
      <w:r w:rsidR="00CA26AE" w:rsidRPr="002A6BF2">
        <w:rPr>
          <w:lang w:val="en-US"/>
        </w:rPr>
        <w:t xml:space="preserve">System Duetz </w:t>
      </w:r>
      <w:r w:rsidR="00B12425" w:rsidRPr="002A6BF2">
        <w:rPr>
          <w:lang w:val="en-US"/>
        </w:rPr>
        <w:t>well plates)</w:t>
      </w:r>
      <w:r w:rsidR="00710BC7" w:rsidRPr="002A6BF2">
        <w:rPr>
          <w:lang w:val="en-US"/>
        </w:rPr>
        <w:t xml:space="preserve"> in rotary shakers with a throw of 50 mm.</w:t>
      </w:r>
      <w:r w:rsidR="008C334A" w:rsidRPr="002A6BF2">
        <w:rPr>
          <w:lang w:val="en-US"/>
        </w:rPr>
        <w:t xml:space="preserve"> Growth and toxicity experiments were performed </w:t>
      </w:r>
      <w:r w:rsidR="00805BD0" w:rsidRPr="002A6BF2">
        <w:rPr>
          <w:lang w:val="en-US"/>
        </w:rPr>
        <w:t xml:space="preserve">in MSM </w:t>
      </w:r>
      <w:r w:rsidR="008C334A" w:rsidRPr="002A6BF2">
        <w:rPr>
          <w:lang w:val="en-US"/>
        </w:rPr>
        <w:t xml:space="preserve">with </w:t>
      </w:r>
      <w:r w:rsidR="00805BD0" w:rsidRPr="002A6BF2">
        <w:rPr>
          <w:lang w:val="en-US"/>
        </w:rPr>
        <w:t>20 mM glucose</w:t>
      </w:r>
      <w:r w:rsidR="008C334A" w:rsidRPr="002A6BF2">
        <w:rPr>
          <w:lang w:val="en-US"/>
        </w:rPr>
        <w:t xml:space="preserve"> in the Growth Profiler</w:t>
      </w:r>
      <w:r w:rsidR="007930B1" w:rsidRPr="002A6BF2">
        <w:rPr>
          <w:lang w:val="en-US"/>
        </w:rPr>
        <w:t xml:space="preserve"> (EnzyScreen, Leiden, Netherlands)</w:t>
      </w:r>
      <w:r w:rsidR="008C334A" w:rsidRPr="002A6BF2">
        <w:rPr>
          <w:lang w:val="en-US"/>
        </w:rPr>
        <w:t xml:space="preserve"> in 96 square well microtiter plates with 200</w:t>
      </w:r>
      <w:r w:rsidRPr="002A6BF2">
        <w:rPr>
          <w:lang w:val="en-US"/>
        </w:rPr>
        <w:t> </w:t>
      </w:r>
      <w:r w:rsidR="008C334A" w:rsidRPr="002A6BF2">
        <w:rPr>
          <w:lang w:val="en-US"/>
        </w:rPr>
        <w:t xml:space="preserve">µL filling volume at 30°C, 225 rpm and a throw of 50 mm. </w:t>
      </w:r>
    </w:p>
    <w:p w14:paraId="00B13CD1" w14:textId="38C9C390" w:rsidR="00EC2B8D" w:rsidRPr="002A6BF2" w:rsidRDefault="00EC2B8D" w:rsidP="00B84A00">
      <w:pPr>
        <w:spacing w:line="276" w:lineRule="auto"/>
        <w:rPr>
          <w:lang w:val="en-US"/>
        </w:rPr>
      </w:pPr>
    </w:p>
    <w:p w14:paraId="14A18535" w14:textId="30E049EA" w:rsidR="00931B1E" w:rsidRPr="002A6BF2" w:rsidRDefault="00931B1E" w:rsidP="00B84A00">
      <w:pPr>
        <w:pStyle w:val="berschrift2"/>
        <w:numPr>
          <w:ilvl w:val="1"/>
          <w:numId w:val="11"/>
        </w:numPr>
        <w:spacing w:line="276" w:lineRule="auto"/>
        <w:rPr>
          <w:lang w:val="en-US"/>
        </w:rPr>
      </w:pPr>
      <w:r w:rsidRPr="002A6BF2">
        <w:rPr>
          <w:lang w:val="en-US"/>
        </w:rPr>
        <w:t>Plasmid construction and genetic modifications</w:t>
      </w:r>
      <w:r w:rsidR="00894228" w:rsidRPr="002A6BF2">
        <w:rPr>
          <w:lang w:val="en-US"/>
        </w:rPr>
        <w:t xml:space="preserve"> – DNA Techniques</w:t>
      </w:r>
    </w:p>
    <w:p w14:paraId="13801128" w14:textId="21DA8BB6" w:rsidR="00D25252" w:rsidRPr="002A6BF2" w:rsidRDefault="0096380E" w:rsidP="00B84A00">
      <w:pPr>
        <w:spacing w:line="276" w:lineRule="auto"/>
        <w:jc w:val="both"/>
        <w:rPr>
          <w:lang w:val="en-US"/>
        </w:rPr>
      </w:pPr>
      <w:r w:rsidRPr="002A6BF2">
        <w:rPr>
          <w:lang w:val="en-US"/>
        </w:rPr>
        <w:t xml:space="preserve">Plasmids were </w:t>
      </w:r>
      <w:r w:rsidR="00153951" w:rsidRPr="002A6BF2">
        <w:rPr>
          <w:lang w:val="en-US"/>
        </w:rPr>
        <w:t>cloned applying the</w:t>
      </w:r>
      <w:r w:rsidRPr="002A6BF2">
        <w:rPr>
          <w:lang w:val="en-US"/>
        </w:rPr>
        <w:t xml:space="preserve"> Gibson assembly</w:t>
      </w:r>
      <w:r w:rsidR="00C53CF6" w:rsidRPr="002A6BF2">
        <w:rPr>
          <w:lang w:val="en-US"/>
        </w:rPr>
        <w:t xml:space="preserve"> method</w:t>
      </w:r>
      <w:r w:rsidR="00153951" w:rsidRPr="002A6BF2">
        <w:rPr>
          <w:lang w:val="en-US"/>
        </w:rPr>
        <w:t>ology</w:t>
      </w:r>
      <w:r w:rsidRPr="002A6BF2">
        <w:rPr>
          <w:lang w:val="en-US"/>
        </w:rPr>
        <w:t xml:space="preserve"> </w:t>
      </w:r>
      <w:r w:rsidR="00153951" w:rsidRPr="002A6BF2">
        <w:rPr>
          <w:lang w:val="en-US"/>
        </w:rPr>
        <w:t>using</w:t>
      </w:r>
      <w:r w:rsidRPr="002A6BF2">
        <w:rPr>
          <w:lang w:val="en-US"/>
        </w:rPr>
        <w:t xml:space="preserve"> </w:t>
      </w:r>
      <w:r w:rsidR="00153951" w:rsidRPr="002A6BF2">
        <w:rPr>
          <w:lang w:val="en-US"/>
        </w:rPr>
        <w:t>the NEBuilder</w:t>
      </w:r>
      <w:r w:rsidRPr="002A6BF2">
        <w:rPr>
          <w:lang w:val="en-US"/>
        </w:rPr>
        <w:t xml:space="preserve"> HiFi DNA </w:t>
      </w:r>
      <w:r w:rsidR="00153951" w:rsidRPr="002A6BF2">
        <w:rPr>
          <w:lang w:val="en-US"/>
        </w:rPr>
        <w:t xml:space="preserve">Assembly Master Mix </w:t>
      </w:r>
      <w:r w:rsidRPr="002A6BF2">
        <w:rPr>
          <w:lang w:val="en-US"/>
        </w:rPr>
        <w:t xml:space="preserve">(New England Biolabs, New Ipswich, USA). </w:t>
      </w:r>
      <w:r w:rsidR="00153951" w:rsidRPr="002A6BF2">
        <w:rPr>
          <w:lang w:val="en-US"/>
        </w:rPr>
        <w:t xml:space="preserve">DNA oligonucleotides </w:t>
      </w:r>
      <w:r w:rsidRPr="002A6BF2">
        <w:rPr>
          <w:lang w:val="en-US"/>
        </w:rPr>
        <w:t xml:space="preserve">for </w:t>
      </w:r>
      <w:r w:rsidR="00153951" w:rsidRPr="002A6BF2">
        <w:rPr>
          <w:lang w:val="en-US"/>
        </w:rPr>
        <w:t>PCR</w:t>
      </w:r>
      <w:r w:rsidRPr="002A6BF2">
        <w:rPr>
          <w:lang w:val="en-US"/>
        </w:rPr>
        <w:t xml:space="preserve"> and sequencing were </w:t>
      </w:r>
      <w:r w:rsidR="00CF22E0" w:rsidRPr="002A6BF2">
        <w:rPr>
          <w:lang w:val="en-US"/>
        </w:rPr>
        <w:t>purchased</w:t>
      </w:r>
      <w:r w:rsidRPr="002A6BF2">
        <w:rPr>
          <w:lang w:val="en-US"/>
        </w:rPr>
        <w:t xml:space="preserve"> from Eurofins Genomics (Ebersberg, Germany)</w:t>
      </w:r>
      <w:r w:rsidR="00D714E4" w:rsidRPr="002A6BF2">
        <w:rPr>
          <w:lang w:val="en-US"/>
        </w:rPr>
        <w:t xml:space="preserve"> (</w:t>
      </w:r>
      <w:r w:rsidR="00FA3DEC" w:rsidRPr="002A6BF2">
        <w:rPr>
          <w:lang w:val="en-US"/>
        </w:rPr>
        <w:t xml:space="preserve">Supplementary </w:t>
      </w:r>
      <w:r w:rsidR="008F52BF" w:rsidRPr="002A6BF2">
        <w:rPr>
          <w:lang w:val="en-US"/>
        </w:rPr>
        <w:t>T</w:t>
      </w:r>
      <w:r w:rsidR="00EC2B8D" w:rsidRPr="002A6BF2">
        <w:rPr>
          <w:lang w:val="en-US"/>
        </w:rPr>
        <w:t xml:space="preserve">able </w:t>
      </w:r>
      <w:r w:rsidR="00A46AA7" w:rsidRPr="002A6BF2">
        <w:rPr>
          <w:lang w:val="en-US"/>
        </w:rPr>
        <w:t>S3</w:t>
      </w:r>
      <w:r w:rsidR="00D714E4" w:rsidRPr="002A6BF2">
        <w:rPr>
          <w:lang w:val="en-US"/>
        </w:rPr>
        <w:t>)</w:t>
      </w:r>
      <w:r w:rsidR="00EC2B8D" w:rsidRPr="002A6BF2">
        <w:rPr>
          <w:lang w:val="en-US"/>
        </w:rPr>
        <w:t xml:space="preserve">. </w:t>
      </w:r>
      <w:r w:rsidR="00153951" w:rsidRPr="002A6BF2">
        <w:rPr>
          <w:lang w:val="en-US"/>
        </w:rPr>
        <w:t xml:space="preserve">DNA fragments </w:t>
      </w:r>
      <w:r w:rsidR="00F32FE8" w:rsidRPr="002A6BF2">
        <w:rPr>
          <w:lang w:val="en-US"/>
        </w:rPr>
        <w:t xml:space="preserve">used </w:t>
      </w:r>
      <w:r w:rsidR="00153951" w:rsidRPr="002A6BF2">
        <w:rPr>
          <w:lang w:val="en-US"/>
        </w:rPr>
        <w:t xml:space="preserve">for cloning </w:t>
      </w:r>
      <w:r w:rsidRPr="002A6BF2">
        <w:rPr>
          <w:lang w:val="en-US"/>
        </w:rPr>
        <w:t xml:space="preserve">were </w:t>
      </w:r>
      <w:r w:rsidR="00153951" w:rsidRPr="002A6BF2">
        <w:rPr>
          <w:lang w:val="en-US"/>
        </w:rPr>
        <w:t>amplified</w:t>
      </w:r>
      <w:r w:rsidRPr="002A6BF2">
        <w:rPr>
          <w:lang w:val="en-US"/>
        </w:rPr>
        <w:t xml:space="preserve"> </w:t>
      </w:r>
      <w:r w:rsidR="00153951" w:rsidRPr="002A6BF2">
        <w:rPr>
          <w:lang w:val="en-US"/>
        </w:rPr>
        <w:t>using the</w:t>
      </w:r>
      <w:r w:rsidRPr="002A6BF2">
        <w:rPr>
          <w:lang w:val="en-US"/>
        </w:rPr>
        <w:t xml:space="preserve"> Q5 </w:t>
      </w:r>
      <w:r w:rsidR="00153951" w:rsidRPr="002A6BF2">
        <w:rPr>
          <w:lang w:val="en-US"/>
        </w:rPr>
        <w:t>High</w:t>
      </w:r>
      <w:r w:rsidRPr="002A6BF2">
        <w:rPr>
          <w:lang w:val="en-US"/>
        </w:rPr>
        <w:t>-</w:t>
      </w:r>
      <w:r w:rsidR="00153951" w:rsidRPr="002A6BF2">
        <w:rPr>
          <w:lang w:val="en-US"/>
        </w:rPr>
        <w:t>Fidelity Polymerase Master Mix</w:t>
      </w:r>
      <w:r w:rsidR="00FA3DEC" w:rsidRPr="002A6BF2">
        <w:rPr>
          <w:lang w:val="en-US"/>
        </w:rPr>
        <w:t xml:space="preserve"> or purchase synthetically (Supplementary Table </w:t>
      </w:r>
      <w:r w:rsidR="00A46AA7" w:rsidRPr="002A6BF2">
        <w:rPr>
          <w:lang w:val="en-US"/>
        </w:rPr>
        <w:t>S4</w:t>
      </w:r>
      <w:r w:rsidR="00FA3DEC" w:rsidRPr="002A6BF2">
        <w:rPr>
          <w:lang w:val="en-US"/>
        </w:rPr>
        <w:t>)</w:t>
      </w:r>
      <w:r w:rsidR="00153951" w:rsidRPr="002A6BF2">
        <w:rPr>
          <w:lang w:val="en-US"/>
        </w:rPr>
        <w:t xml:space="preserve">. Colony </w:t>
      </w:r>
      <w:r w:rsidRPr="002A6BF2">
        <w:rPr>
          <w:lang w:val="en-US"/>
        </w:rPr>
        <w:t>PCR</w:t>
      </w:r>
      <w:r w:rsidR="00153951" w:rsidRPr="002A6BF2">
        <w:rPr>
          <w:lang w:val="en-US"/>
        </w:rPr>
        <w:t>s</w:t>
      </w:r>
      <w:r w:rsidRPr="002A6BF2">
        <w:rPr>
          <w:lang w:val="en-US"/>
        </w:rPr>
        <w:t xml:space="preserve"> and </w:t>
      </w:r>
      <w:r w:rsidR="00153951" w:rsidRPr="002A6BF2">
        <w:rPr>
          <w:lang w:val="en-US"/>
        </w:rPr>
        <w:t xml:space="preserve">other diagnostic </w:t>
      </w:r>
      <w:r w:rsidRPr="002A6BF2">
        <w:rPr>
          <w:lang w:val="en-US"/>
        </w:rPr>
        <w:t>PCR</w:t>
      </w:r>
      <w:r w:rsidR="00153951" w:rsidRPr="002A6BF2">
        <w:rPr>
          <w:lang w:val="en-US"/>
        </w:rPr>
        <w:t>s</w:t>
      </w:r>
      <w:r w:rsidRPr="002A6BF2">
        <w:rPr>
          <w:lang w:val="en-US"/>
        </w:rPr>
        <w:t xml:space="preserve"> were </w:t>
      </w:r>
      <w:r w:rsidR="00153951" w:rsidRPr="002A6BF2">
        <w:rPr>
          <w:lang w:val="en-US"/>
        </w:rPr>
        <w:t>performed</w:t>
      </w:r>
      <w:r w:rsidRPr="002A6BF2">
        <w:rPr>
          <w:lang w:val="en-US"/>
        </w:rPr>
        <w:t xml:space="preserve"> with OneTaq </w:t>
      </w:r>
      <w:r w:rsidR="008774AA" w:rsidRPr="002A6BF2">
        <w:rPr>
          <w:lang w:val="en-US"/>
        </w:rPr>
        <w:t>2x M</w:t>
      </w:r>
      <w:r w:rsidRPr="002A6BF2">
        <w:rPr>
          <w:lang w:val="en-US"/>
        </w:rPr>
        <w:t xml:space="preserve">aster </w:t>
      </w:r>
      <w:r w:rsidR="008774AA" w:rsidRPr="002A6BF2">
        <w:rPr>
          <w:lang w:val="en-US"/>
        </w:rPr>
        <w:t>M</w:t>
      </w:r>
      <w:r w:rsidRPr="002A6BF2">
        <w:rPr>
          <w:lang w:val="en-US"/>
        </w:rPr>
        <w:t>ix (New England Biolabs, New Ipswich, USA)</w:t>
      </w:r>
      <w:r w:rsidR="006E0EF3" w:rsidRPr="002A6BF2">
        <w:rPr>
          <w:lang w:val="en-US"/>
        </w:rPr>
        <w:t xml:space="preserve"> after pre-lysis with alkaline PEG</w:t>
      </w:r>
      <w:r w:rsidR="005922AB" w:rsidRPr="002A6BF2">
        <w:rPr>
          <w:lang w:val="en-US"/>
        </w:rPr>
        <w:t xml:space="preserve"> </w:t>
      </w:r>
      <w:r w:rsidR="006E0EF3" w:rsidRPr="002A6BF2">
        <w:rPr>
          <w:lang w:val="en-US"/>
        </w:rPr>
        <w:t xml:space="preserve">200 pH 12.75 </w:t>
      </w:r>
      <w:r w:rsidR="006E0EF3" w:rsidRPr="002A6BF2">
        <w:rPr>
          <w:lang w:val="en-US"/>
        </w:rPr>
        <w:fldChar w:fldCharType="begin" w:fldLock="1"/>
      </w:r>
      <w:r w:rsidR="00D40894" w:rsidRPr="002A6BF2">
        <w:rPr>
          <w:lang w:val="en-US"/>
        </w:rPr>
        <w:instrText>ADDIN CSL_CITATION {"citationItems":[{"id":"ITEM-1","itemData":{"DOI":"10.2144/000112149","ISSN":"07366205","author":[{"dropping-particle":"","family":"Chomczynski","given":"Piotr","non-dropping-particle":"","parse-names":false,"suffix":""},{"dropping-particle":"","family":"Rymaszewski","given":"Michal","non-dropping-particle":"","parse-names":false,"suffix":""}],"container-title":"BioTechniques","id":"ITEM-1","issue":"4","issued":{"date-parts":[["2006"]]},"page":"454-458","title":"Alkaline polyethylene glycol-based method for direct PCR from bacteria, eukaryotic tissue samples, and whole blood","type":"article-journal","volume":"40"},"uris":["http://www.mendeley.com/documents/?uuid=654bd46b-fd2d-437e-876d-33bc335a31fa"]}],"mendeley":{"formattedCitation":"(Chomczynski &amp; Rymaszewski, 2006)","plainTextFormattedCitation":"(Chomczynski &amp; Rymaszewski, 2006)","previouslyFormattedCitation":"(Chomczynski &amp; Rymaszewski, 2006)"},"properties":{"noteIndex":0},"schema":"https://github.com/citation-style-language/schema/raw/master/csl-citation.json"}</w:instrText>
      </w:r>
      <w:r w:rsidR="006E0EF3" w:rsidRPr="002A6BF2">
        <w:rPr>
          <w:lang w:val="en-US"/>
        </w:rPr>
        <w:fldChar w:fldCharType="separate"/>
      </w:r>
      <w:r w:rsidR="00B255F3" w:rsidRPr="002A6BF2">
        <w:rPr>
          <w:noProof/>
          <w:lang w:val="en-US"/>
        </w:rPr>
        <w:t>(Chomczynski &amp; Rymaszewski, 2006)</w:t>
      </w:r>
      <w:r w:rsidR="006E0EF3" w:rsidRPr="002A6BF2">
        <w:rPr>
          <w:lang w:val="en-US"/>
        </w:rPr>
        <w:fldChar w:fldCharType="end"/>
      </w:r>
      <w:r w:rsidR="000D5A67" w:rsidRPr="002A6BF2">
        <w:rPr>
          <w:lang w:val="en-US"/>
        </w:rPr>
        <w:t>.</w:t>
      </w:r>
      <w:r w:rsidR="00AA1049" w:rsidRPr="002A6BF2">
        <w:rPr>
          <w:lang w:val="en-US"/>
        </w:rPr>
        <w:t xml:space="preserve"> </w:t>
      </w:r>
      <w:r w:rsidR="00153951" w:rsidRPr="002A6BF2">
        <w:rPr>
          <w:lang w:val="en-US"/>
        </w:rPr>
        <w:t>The d</w:t>
      </w:r>
      <w:r w:rsidR="00AA1049" w:rsidRPr="002A6BF2">
        <w:rPr>
          <w:lang w:val="en-US"/>
        </w:rPr>
        <w:t xml:space="preserve">eletion </w:t>
      </w:r>
      <w:r w:rsidR="00153951" w:rsidRPr="002A6BF2">
        <w:rPr>
          <w:lang w:val="en-US"/>
        </w:rPr>
        <w:t>procedure is</w:t>
      </w:r>
      <w:r w:rsidR="00AA1049" w:rsidRPr="002A6BF2">
        <w:rPr>
          <w:lang w:val="en-US"/>
        </w:rPr>
        <w:t xml:space="preserve"> based</w:t>
      </w:r>
      <w:r w:rsidR="00CF22E0" w:rsidRPr="002A6BF2">
        <w:rPr>
          <w:lang w:val="en-US"/>
        </w:rPr>
        <w:t xml:space="preserve"> </w:t>
      </w:r>
      <w:r w:rsidR="00153951" w:rsidRPr="002A6BF2">
        <w:rPr>
          <w:lang w:val="en-US"/>
        </w:rPr>
        <w:t xml:space="preserve">on two successive </w:t>
      </w:r>
      <w:r w:rsidR="00CF22E0" w:rsidRPr="002A6BF2">
        <w:rPr>
          <w:lang w:val="en-US"/>
        </w:rPr>
        <w:t>homologous recombination</w:t>
      </w:r>
      <w:r w:rsidR="00153951" w:rsidRPr="002A6BF2">
        <w:rPr>
          <w:lang w:val="en-US"/>
        </w:rPr>
        <w:t xml:space="preserve"> events.</w:t>
      </w:r>
      <w:r w:rsidR="00155BB2" w:rsidRPr="002A6BF2">
        <w:rPr>
          <w:lang w:val="en-US"/>
        </w:rPr>
        <w:t xml:space="preserve"> </w:t>
      </w:r>
      <w:r w:rsidR="00153951" w:rsidRPr="002A6BF2">
        <w:rPr>
          <w:lang w:val="en-US"/>
        </w:rPr>
        <w:t>The second homologous recombination</w:t>
      </w:r>
      <w:r w:rsidR="00CF22E0" w:rsidRPr="002A6BF2">
        <w:rPr>
          <w:lang w:val="en-US"/>
        </w:rPr>
        <w:t xml:space="preserve"> </w:t>
      </w:r>
      <w:r w:rsidR="00153951" w:rsidRPr="002A6BF2">
        <w:rPr>
          <w:lang w:val="en-US"/>
        </w:rPr>
        <w:t xml:space="preserve">is selected through the induction of DNA </w:t>
      </w:r>
      <w:r w:rsidR="00CF22E0" w:rsidRPr="002A6BF2">
        <w:rPr>
          <w:lang w:val="en-US"/>
        </w:rPr>
        <w:lastRenderedPageBreak/>
        <w:t xml:space="preserve">double strand breaks </w:t>
      </w:r>
      <w:r w:rsidR="00153951" w:rsidRPr="002A6BF2">
        <w:rPr>
          <w:lang w:val="en-US"/>
        </w:rPr>
        <w:t>introduced through</w:t>
      </w:r>
      <w:r w:rsidR="00AA1049" w:rsidRPr="002A6BF2">
        <w:rPr>
          <w:lang w:val="en-US"/>
        </w:rPr>
        <w:t xml:space="preserve"> I-SceI</w:t>
      </w:r>
      <w:r w:rsidR="00153951" w:rsidRPr="002A6BF2">
        <w:rPr>
          <w:lang w:val="en-US"/>
        </w:rPr>
        <w:t xml:space="preserve"> at its recognition sites introduced</w:t>
      </w:r>
      <w:r w:rsidR="00AA1049" w:rsidRPr="002A6BF2">
        <w:rPr>
          <w:lang w:val="en-US"/>
        </w:rPr>
        <w:t xml:space="preserve"> </w:t>
      </w:r>
      <w:r w:rsidR="00591ACE" w:rsidRPr="002A6BF2">
        <w:rPr>
          <w:lang w:val="en-US"/>
        </w:rPr>
        <w:t xml:space="preserve">by </w:t>
      </w:r>
      <w:r w:rsidR="00AA1049" w:rsidRPr="002A6BF2">
        <w:rPr>
          <w:lang w:val="en-US"/>
        </w:rPr>
        <w:t xml:space="preserve">pEMG </w:t>
      </w:r>
      <w:r w:rsidR="00AA1049" w:rsidRPr="002A6BF2">
        <w:rPr>
          <w:lang w:val="en-US"/>
        </w:rPr>
        <w:fldChar w:fldCharType="begin" w:fldLock="1"/>
      </w:r>
      <w:r w:rsidR="00D40894" w:rsidRPr="002A6BF2">
        <w:rPr>
          <w:lang w:val="en-US"/>
        </w:rPr>
        <w:instrText>ADDIN CSL_CITATION {"citationItems":[{"id":"ITEM-1","itemData":{"DOI":"10.1111/j.1462-2920.2011.02538.x","ISSN":"14622912","abstract":"The genome of the soil bacterium Pseudomonas putida strain KT2440 has been erased of various determinants of resistance to antibiotics encoded in its extant chromosome. To this end, we employed a coherent genetic platform that allowed the precise deletion of multiple genomic segments in a large variety of Gram-negative bacteria including (but not limited to) P. putida. The method is based on the obligatory recombination between free-ended homologous DNA sequences that are released as linear fragments generated upon the cleavage of the chromosome with unique I-SceI sites, added to the segment of interest by the vector system. Despite the potential for a SOS response brought about by the appearance of double stranded DNA breaks during the process, fluctuation experiments revealed that the procedure did not increase mutation rates - perhaps due to the protection exerted by I-SceI bound to the otherwise naked DNA termini. With this tool in hand we made sequential deletions of genes mexC, mexE, ttgA and ampC in the genome of the target bacterium, orthologues of which are known to determine various degrees of antibiotic resistance in diverse microorganisms. Inspection of the corresponding phenotypes demonstrated that the efflux pump encoded by ttgA sufficed to endow P. putida with a high-level of tolerance to β-lactams, chloramphenicol and quinolones, but had little effect on, e.g. aminoglycosides. Analysis of the mutants reveale</w:instrText>
      </w:r>
      <w:r w:rsidR="00D40894" w:rsidRPr="00310E46">
        <w:instrText>d also a considerable diversity in the manifestation of the resistance phenotype within the population and suggested a degree of synergism between different pumps. The directed edition of the P. putida chromosome shown here not only enhances the amenability of this bacterium to deep genomic engineering, but also validates the corresponding approach for similar handlings of a large variety of Gram-negative microorganisms. © 2011 Society for Applied Microbiology and Blackwell Publishing Ltd.","author":[{"dropping-particle":"","family":"Martínez-García","given":"Esteban","non-dropping-particle":"","parse-names":false,"suffix":""},{"dropping-particle":"","family":"Lorenzo","given":"Víctor","non-dropping-particle":"de","parse-names":false,"suffix":""}],"container-title":"Environmental Microbiology","id":"ITEM-1","issue":"10","issued":{"date-parts":[["2011"]]},"page":"2702-2716","title":"Engineering multiple genomic deletions in Gram-negative bacteria: Analysis of the multi-resistant antibiotic profile of &lt;i&gt;Pseudomonas putida&lt;/i&gt; KT2440","type":"article","volume":"13"},"uris":["http://www.mendeley.com/documents/?uuid=f01a83b5-3f7d-4c96-ab42-499b98b416eb"]}],"mendeley":{"formattedCitation":"(Martínez-García &amp; de Lorenzo, 2011)","plainTextFormattedCitation":"(Martínez-García &amp; de Lorenzo, 2011)","previouslyFormattedCitation":"(Martínez-García &amp; de Lorenzo, 2011)"},"properties":{"noteIndex":0},"schema":"https://github.com/citation-style-language/schema/raw/master/csl-citation.json"}</w:instrText>
      </w:r>
      <w:r w:rsidR="00AA1049" w:rsidRPr="002A6BF2">
        <w:rPr>
          <w:lang w:val="en-US"/>
        </w:rPr>
        <w:fldChar w:fldCharType="separate"/>
      </w:r>
      <w:r w:rsidR="00B255F3" w:rsidRPr="00310E46">
        <w:rPr>
          <w:noProof/>
        </w:rPr>
        <w:t>(Martínez-García &amp; de Lorenzo, 2011)</w:t>
      </w:r>
      <w:r w:rsidR="00AA1049" w:rsidRPr="002A6BF2">
        <w:rPr>
          <w:lang w:val="en-US"/>
        </w:rPr>
        <w:fldChar w:fldCharType="end"/>
      </w:r>
      <w:r w:rsidR="00AA1049" w:rsidRPr="00310E46">
        <w:t xml:space="preserve">, pGNW2 </w:t>
      </w:r>
      <w:r w:rsidR="009B41C8" w:rsidRPr="002A6BF2">
        <w:rPr>
          <w:lang w:val="en-US"/>
        </w:rPr>
        <w:fldChar w:fldCharType="begin" w:fldLock="1"/>
      </w:r>
      <w:r w:rsidR="00C0285A" w:rsidRPr="00310E46">
        <w:instrText>ADDIN CSL_CITATION {"citationItems":[{"id":"ITEM-1","itemData":{"DOI":"10.1111/1751-7915.13396","ISSN":"1751-7915","abstract":"Pseudomonas species have become reliable platforms for bioproduction due to their capability to tolerate harsh conditions imposed by large-scale bioprocesses and their remarkable resistance to diverse physicochemical stresses. The last few years have brought forth a variety of synthetic biology tools for the genetic manipulation of pseudomonads, but most of them are either applicable only to obtain certain types of mutations, lack efficiency, or are not easily accessible to be used in different Pseudomonas species (e.g. natural isolates). In this work, we describe a versatile, robust and user-friendly procedure that facilitates virtually any kind of genomic manipulation in Pseudomonas species in 3–5 days. The protocol presented here is based on DNA recombination forced by double-stranded DNA cuts (through the activity of the I-SceI homing meganuclease from yeast) followed by highly efficient counterselection of mutants (aided by a synthetic CRISPR-Cas9 device). The individual parts of the genome engineering toolbox, tailored for knocking genes in and out, have been standardized to enable portability and easy exchange of functional gene modules as needed. The applicability of the procedure is illustrated both by eliminating selected genomic regions in the platform strain P. putida KT2440 (including difficult-to-delete genes) and by integrating different reporter genes (comprising novel variants of fluorescent proteins) into a defined landing site in the target chromosome.","author":[{"dropping-particle":"","family":"Wirth","given":"Nicolas T.","non-dropping-particle":"","parse-names":false,"suffix":""},{"dropping-particle":"","family":"Kozaeva","given":"Ekaterina","non-dropping-particle":"","parse-names":false,"suffix":""},{"dropping-particle":"","family":"Nikel","given":"Pablo I.","non-dropping-particle":"","parse-names":false,"suffix":""}],"container-title":"Microbial Biotechnology","id":"ITEM-1","issue":"1","issued":{"date-parts":[["2020","1"]]},"page":"233-249","title":"Accelerated genome engineering of &lt;i&gt;Pseudomonas putida&lt;/i&gt; by I‐&lt;i&gt;Sce&lt;/i&gt;I―mediated recombination and CRISPR‐Cas9 counterselection","type":"article-journal","volume":"13"},"uris":["http://www.mendeley.com/documents/?uuid=2b728297-c06d-4772-aaff-744aee9258a5"]}],"mendeley":{"formattedCitation":"(Wirth et al., 2020)","plainTextFormattedCitation":"(Wirth et al., 2020)","previouslyFormattedCitation":"(Wirth et al., 2020)"},"properties":{"noteIndex":0},"schema":"https://github.com/citation-style-language/schema/raw/master/csl-citation.json"}</w:instrText>
      </w:r>
      <w:r w:rsidR="009B41C8" w:rsidRPr="002A6BF2">
        <w:rPr>
          <w:lang w:val="en-US"/>
        </w:rPr>
        <w:fldChar w:fldCharType="separate"/>
      </w:r>
      <w:r w:rsidR="00B255F3" w:rsidRPr="00310E46">
        <w:rPr>
          <w:noProof/>
        </w:rPr>
        <w:t>(Wirth et al., 2020)</w:t>
      </w:r>
      <w:r w:rsidR="009B41C8" w:rsidRPr="002A6BF2">
        <w:rPr>
          <w:lang w:val="en-US"/>
        </w:rPr>
        <w:fldChar w:fldCharType="end"/>
      </w:r>
      <w:r w:rsidR="009B41C8" w:rsidRPr="00310E46">
        <w:t xml:space="preserve"> </w:t>
      </w:r>
      <w:r w:rsidR="00AA1049" w:rsidRPr="00310E46">
        <w:t>or pSNW2 plasmids</w:t>
      </w:r>
      <w:r w:rsidR="0021286B" w:rsidRPr="00310E46">
        <w:t xml:space="preserve"> </w:t>
      </w:r>
      <w:r w:rsidR="0021286B" w:rsidRPr="002A6BF2">
        <w:rPr>
          <w:lang w:val="en-US"/>
        </w:rPr>
        <w:fldChar w:fldCharType="begin" w:fldLock="1"/>
      </w:r>
      <w:r w:rsidR="00304BFA" w:rsidRPr="00310E46">
        <w:instrText>ADDIN CSL_CITATION {"citationItems":[{"id":"ITEM-1","itemData":{"DOI":"10.1016/j.mec.2020.e00126","ISSN":"22140301","abstract":"Genome engineering of non-conventional microorganisms calls for the development of dedicated synthetic biology tools. Pseudomonas putida is a Gram-negative, non-pathogenic soil bacterium widely used for metabolic engineering owing to its versatile metabolism and high levels of tolerance to different types of stress. Genome editing of P. putida largely relies on homologous recombination events, assisted by helper plasmid-based expression of genes encoding DNA modifying enzymes. Plasmid curing from selected isolates is the most tedious and time-consuming step of this procedure, and implementing commonly used methods to this end in P. putida (e.g. temperature-sensitive replicons) is often impractical. To tackle this issue, we have developed a toolbox for both target- and self-curing of plasmid DNA in Pseudomonas species. Our method enables plasmid-curing in a simple cultivation step by combining in vivo digestion of vectors by the I-SceI homing nuclease with synthetic control of plasmid replication, triggered by the addition of a cheap chemical inducer (3-methylbenzoate) to the medium. The system displays an efficiency of vector curing &gt;90% and the screening of plasmid-free clones is greatly facilitated by the use of fluorescent markers that can be selected according to the application intended. Furthermore, quic</w:instrText>
      </w:r>
      <w:r w:rsidR="00304BFA" w:rsidRPr="002A6BF2">
        <w:rPr>
          <w:lang w:val="en-US"/>
        </w:rPr>
        <w:instrText>k genome engineering of P. putida using self-curing plasmids is demonstrated through genome reduction of the platform strain EM42 by eliminating all genes encoding β-lactamases, the catabolic ben gene cluster, and the pyoverdine synthesis machinery. Physiological characterization of the resulting streamlined strain, P. putida SEM10, revealed advantageous features that could be exploited for metabolic engineering.","author":[{"dropping-particle":"","family":"Volke","given":"Daniel C.","non-dropping-particle":"","parse-names":false,"suffix":""},{"dropping-particle":"","family":"Friis","given":"Laura","non-dropping-particle":"","parse-names":false,"suffix":""},{"dropping-particle":"","family":"Wirth","given":"Nicolas T.","non-dropping-particle":"","parse-names":false,"suffix":""},{"dropping-particle":"","family":"Turlin","given":"Justine","non-dropping-particle":"","parse-names":false,"suffix":""},{"dropping-particle":"","family":"Nikel","given":"Pablo I.","non-dropping-particle":"","parse-names":false,"suffix":""}],"container-title":"Metabolic Engineering Communications","id":"ITEM-1","issue":"January","issued":{"date-parts":[["2020"]]},"note":"Reference for \npSNW2,\nSEM10 and for \npQURE6","page":"e00126","publisher":"Elsevier Ltd","title":"Synthetic control of plasmid replication enables target- and self-curing of vectors and expedites genome engineering of &lt;i&gt;Pseudomonas putida&lt;/i&gt;","type":"article-journal","volume":"10"},"uris":["http://www.mendeley.com/documents/?uuid=3669e3c2-513c-4037-a141-8108289d0958"]}],"mendeley":{"formattedCitation":"(Daniel C. Volke et al., 2020)","manualFormatting":"(Volke et al., 2020)","plainTextFormattedCitation":"(Daniel C. Volke et al., 2020)","previouslyFormattedCitation":"(Daniel C. Volke et al., 2020)"},"properties":{"noteIndex":0},"schema":"https://github.com/citation-style-language/schema/raw/master/csl-citation.json"}</w:instrText>
      </w:r>
      <w:r w:rsidR="0021286B" w:rsidRPr="002A6BF2">
        <w:rPr>
          <w:lang w:val="en-US"/>
        </w:rPr>
        <w:fldChar w:fldCharType="separate"/>
      </w:r>
      <w:r w:rsidR="00B255F3" w:rsidRPr="002A6BF2">
        <w:rPr>
          <w:noProof/>
          <w:lang w:val="en-US"/>
        </w:rPr>
        <w:t>(Volke et al., 2020)</w:t>
      </w:r>
      <w:r w:rsidR="0021286B" w:rsidRPr="002A6BF2">
        <w:rPr>
          <w:lang w:val="en-US"/>
        </w:rPr>
        <w:fldChar w:fldCharType="end"/>
      </w:r>
      <w:r w:rsidR="00AA1049" w:rsidRPr="002A6BF2">
        <w:rPr>
          <w:lang w:val="en-US"/>
        </w:rPr>
        <w:t>.</w:t>
      </w:r>
      <w:r w:rsidR="00CF22E0" w:rsidRPr="002A6BF2">
        <w:rPr>
          <w:lang w:val="en-US"/>
        </w:rPr>
        <w:t xml:space="preserve"> In short, 400-800 bp of flanking regions of the target gene were amplified </w:t>
      </w:r>
      <w:r w:rsidR="00894228" w:rsidRPr="002A6BF2">
        <w:rPr>
          <w:lang w:val="en-US"/>
        </w:rPr>
        <w:t xml:space="preserve">from the genome </w:t>
      </w:r>
      <w:r w:rsidR="00CF22E0" w:rsidRPr="002A6BF2">
        <w:rPr>
          <w:lang w:val="en-US"/>
        </w:rPr>
        <w:t xml:space="preserve">and </w:t>
      </w:r>
      <w:r w:rsidR="00894228" w:rsidRPr="002A6BF2">
        <w:rPr>
          <w:lang w:val="en-US"/>
        </w:rPr>
        <w:t>cloned</w:t>
      </w:r>
      <w:r w:rsidR="00CF22E0" w:rsidRPr="002A6BF2">
        <w:rPr>
          <w:lang w:val="en-US"/>
        </w:rPr>
        <w:t xml:space="preserve"> into</w:t>
      </w:r>
      <w:r w:rsidR="00155BB2" w:rsidRPr="002A6BF2">
        <w:rPr>
          <w:lang w:val="en-US"/>
        </w:rPr>
        <w:t xml:space="preserve"> a suicide plasmid which integrates into </w:t>
      </w:r>
      <w:r w:rsidR="00FF7AAE" w:rsidRPr="002A6BF2">
        <w:rPr>
          <w:lang w:val="en-US"/>
        </w:rPr>
        <w:t xml:space="preserve">the </w:t>
      </w:r>
      <w:r w:rsidR="00155BB2" w:rsidRPr="002A6BF2">
        <w:rPr>
          <w:lang w:val="en-US"/>
        </w:rPr>
        <w:t xml:space="preserve">genome by </w:t>
      </w:r>
      <w:r w:rsidR="00560FEC" w:rsidRPr="002A6BF2">
        <w:rPr>
          <w:lang w:val="en-US"/>
        </w:rPr>
        <w:t>homol</w:t>
      </w:r>
      <w:r w:rsidR="00BD6154" w:rsidRPr="002A6BF2">
        <w:rPr>
          <w:lang w:val="en-US"/>
        </w:rPr>
        <w:t>og</w:t>
      </w:r>
      <w:r w:rsidR="00560FEC" w:rsidRPr="002A6BF2">
        <w:rPr>
          <w:lang w:val="en-US"/>
        </w:rPr>
        <w:t>ous recombination (</w:t>
      </w:r>
      <w:r w:rsidR="00155BB2" w:rsidRPr="002A6BF2">
        <w:rPr>
          <w:lang w:val="en-US"/>
        </w:rPr>
        <w:t>HR</w:t>
      </w:r>
      <w:r w:rsidR="00560FEC" w:rsidRPr="002A6BF2">
        <w:rPr>
          <w:lang w:val="en-US"/>
        </w:rPr>
        <w:t>)</w:t>
      </w:r>
      <w:r w:rsidR="00155BB2" w:rsidRPr="002A6BF2">
        <w:rPr>
          <w:lang w:val="en-US"/>
        </w:rPr>
        <w:t xml:space="preserve">. Sequences between the flanking sequences result </w:t>
      </w:r>
      <w:r w:rsidR="00EB1102" w:rsidRPr="002A6BF2">
        <w:rPr>
          <w:lang w:val="en-US"/>
        </w:rPr>
        <w:t xml:space="preserve">in </w:t>
      </w:r>
      <w:r w:rsidR="00155BB2" w:rsidRPr="002A6BF2">
        <w:rPr>
          <w:lang w:val="en-US"/>
        </w:rPr>
        <w:t>exchanges instead of full deletions. Subsequent, I</w:t>
      </w:r>
      <w:r w:rsidR="00894228" w:rsidRPr="002A6BF2">
        <w:rPr>
          <w:lang w:val="en-US"/>
        </w:rPr>
        <w:t>-</w:t>
      </w:r>
      <w:r w:rsidR="00155BB2" w:rsidRPr="002A6BF2">
        <w:rPr>
          <w:lang w:val="en-US"/>
        </w:rPr>
        <w:t xml:space="preserve">SceI expression induces </w:t>
      </w:r>
      <w:r w:rsidR="00560FEC" w:rsidRPr="002A6BF2">
        <w:rPr>
          <w:lang w:val="en-US"/>
        </w:rPr>
        <w:t xml:space="preserve">double strand break and </w:t>
      </w:r>
      <w:r w:rsidR="00155BB2" w:rsidRPr="002A6BF2">
        <w:rPr>
          <w:lang w:val="en-US"/>
        </w:rPr>
        <w:t>HR results in e</w:t>
      </w:r>
      <w:r w:rsidR="00F52006" w:rsidRPr="002A6BF2">
        <w:rPr>
          <w:lang w:val="en-US"/>
        </w:rPr>
        <w:t>i</w:t>
      </w:r>
      <w:r w:rsidR="00155BB2" w:rsidRPr="002A6BF2">
        <w:rPr>
          <w:lang w:val="en-US"/>
        </w:rPr>
        <w:t>ther wild</w:t>
      </w:r>
      <w:r w:rsidR="007F5EB6" w:rsidRPr="002A6BF2">
        <w:rPr>
          <w:lang w:val="en-US"/>
        </w:rPr>
        <w:t>-</w:t>
      </w:r>
      <w:r w:rsidR="00155BB2" w:rsidRPr="002A6BF2">
        <w:rPr>
          <w:lang w:val="en-US"/>
        </w:rPr>
        <w:t xml:space="preserve">type or </w:t>
      </w:r>
      <w:r w:rsidR="008774AA" w:rsidRPr="002A6BF2">
        <w:rPr>
          <w:lang w:val="en-US"/>
        </w:rPr>
        <w:t xml:space="preserve">modified </w:t>
      </w:r>
      <w:r w:rsidR="00155BB2" w:rsidRPr="002A6BF2">
        <w:rPr>
          <w:lang w:val="en-US"/>
        </w:rPr>
        <w:t>mutant</w:t>
      </w:r>
      <w:r w:rsidR="008774AA" w:rsidRPr="002A6BF2">
        <w:rPr>
          <w:lang w:val="en-US"/>
        </w:rPr>
        <w:t>. Lastly, positive strains were cured from</w:t>
      </w:r>
      <w:r w:rsidR="00FF00F7" w:rsidRPr="002A6BF2">
        <w:rPr>
          <w:lang w:val="en-US"/>
        </w:rPr>
        <w:t xml:space="preserve"> the</w:t>
      </w:r>
      <w:r w:rsidR="008774AA" w:rsidRPr="002A6BF2">
        <w:rPr>
          <w:lang w:val="en-US"/>
        </w:rPr>
        <w:t xml:space="preserve"> I-SceI expression plasmid</w:t>
      </w:r>
      <w:r w:rsidR="00D714E4" w:rsidRPr="002A6BF2">
        <w:rPr>
          <w:lang w:val="en-US"/>
        </w:rPr>
        <w:t xml:space="preserve"> </w:t>
      </w:r>
      <w:r w:rsidR="00D714E4" w:rsidRPr="002A6BF2">
        <w:rPr>
          <w:lang w:val="en-US"/>
        </w:rPr>
        <w:fldChar w:fldCharType="begin" w:fldLock="1"/>
      </w:r>
      <w:r w:rsidR="00D40894" w:rsidRPr="002A6BF2">
        <w:rPr>
          <w:lang w:val="en-US"/>
        </w:rPr>
        <w:instrText>ADDIN CSL_CITATION {"citationItems":[{"id":"ITEM-1","itemData":{"DOI":"10.1016/j.ymben.2018.03.011","ISSN":"10967184","abstract":"Aromatic chemicals are important building blocks for the production of a multitude of everyday commodities. Currently, aromatics production relies almost exclusively on petrochemical processes. To achieve sustainability, alternative synthesis methods need to be developed. Here, we strived for an efficient production of phenol, a model aromatic compound of industrial relevance, from renewable carbon sources using the solvent-tolerant biocatalyst Pseudomonas taiwanensis VLB120. First, multiple catabolic routes for the degradation of aromatics and related compounds were inactivated, thereby obtaining the chassis strain P. taiwanensis VLB120Δ5 incapable of growing on 4-hydroxybenzoate (ΔpobA), tyrosine (Δhpd), and quinate (ΔquiC, ΔquiC1, ΔquiC2). In this context, a novel gene contributing to the quinate catabolism was identified (quiC2). Second, we employed a combination of reverse- and forward engineering to increase metabolic flux towards the product, using leads obtained from the analysis of aromatics producing Pseudomonas putida strains previously generated by mutagenesis. Phenol production was enabled by the heterologous expression of a codon-optimized and chromosomally integrated tyrosine phenol-lyase encoding gene from Pantoea agglomerans AJ2985 (PaTPL2). The genomic modification of endogenous genes encoding TrpEP290S, AroF-1P148L, and PheAT310I, and the deletion of pykA improved phenol production 17-fold, while also minimizing the burden caused by plasmids and auxotrophies. The additional overexpression of known bottleneck enzymes (AroGfbr, TyrAfbr) derived from Escherichia coli further enhanced phenol titers. The best producing strain P. taiwanensis VLB120Δ5-TPL36 reached yields of 15.8% and 18.5% (Cmol/Cmol) phenol from glucose and glycerol, respectively, in a mineral medium without addition of complex nutrients. This is the highest yield ever reported for microbially produced phenol.","author":[{"dropping-particle":"","family":"Wynands","given":"Benedikt","non-dropping-particle":"","parse-names":false,"suffix":""},{"dropping-particle":"","family":"Lenzen","given":"Christoph","non-dropping-particle":"","parse-names":false,"suffix":""},{"dropping-particle":"","family":"Otto","given":"Maike","non-dropping-particle":"","parse-names":false,"suffix":""},{"dropping-particle":"","family":"Koch","given":"Falk","non-dropping-particle":"","parse-names":false,"suffix":""},{"dropping-particle":"","family":"Blank","given":"Lars M.","non-dropping-particle":"","parse-names":false,"suffix":""},{"dropping-particle":"","family":"Wierckx","given":"Nick","non-dropping-particle":"","parse-names":false,"suffix":""}],"container-title":"Metabolic Engineering","id":"ITEM-1","issue":"December 2017","issued":{"date-parts":[["2018"]]},"page":"121-133","publisher":"Elsevier Inc.","title":"Metabolic engineering of &lt;i&gt;Pseudomonas taiwanensis&lt;/i&gt; VLB120 with minimal genomic modifications for high-yield phenol production","type":"article-journal","volume":"47"},"uris":["http://www.mendeley.com/documents/?uuid=4f57a70f-b323-400a-8556-964eeabbceb1"]}],"mendeley":{"formattedCitation":"(Wynands et al., 2018)","plainTextFormattedCitation":"(Wynands et al., 2018)","previouslyFormattedCitation":"(Wynands et al., 2018)"},"properties":{"noteIndex":0},"schema":"https://github.com/citation-style-language/schema/raw/master/csl-citation.json"}</w:instrText>
      </w:r>
      <w:r w:rsidR="00D714E4" w:rsidRPr="002A6BF2">
        <w:rPr>
          <w:lang w:val="en-US"/>
        </w:rPr>
        <w:fldChar w:fldCharType="separate"/>
      </w:r>
      <w:r w:rsidR="00B255F3" w:rsidRPr="002A6BF2">
        <w:rPr>
          <w:noProof/>
          <w:lang w:val="en-US"/>
        </w:rPr>
        <w:t>(Wynands et al., 2018)</w:t>
      </w:r>
      <w:r w:rsidR="00D714E4" w:rsidRPr="002A6BF2">
        <w:rPr>
          <w:lang w:val="en-US"/>
        </w:rPr>
        <w:fldChar w:fldCharType="end"/>
      </w:r>
      <w:r w:rsidR="00155BB2" w:rsidRPr="002A6BF2">
        <w:rPr>
          <w:lang w:val="en-US"/>
        </w:rPr>
        <w:t>.</w:t>
      </w:r>
      <w:r w:rsidR="000D5A67" w:rsidRPr="002A6BF2">
        <w:rPr>
          <w:lang w:val="en-US"/>
        </w:rPr>
        <w:t xml:space="preserve"> </w:t>
      </w:r>
      <w:r w:rsidR="00D25252" w:rsidRPr="002A6BF2">
        <w:rPr>
          <w:lang w:val="en-US"/>
        </w:rPr>
        <w:t>Gene</w:t>
      </w:r>
      <w:r w:rsidR="00C03932" w:rsidRPr="002A6BF2">
        <w:rPr>
          <w:lang w:val="en-US"/>
        </w:rPr>
        <w:t>s</w:t>
      </w:r>
      <w:r w:rsidR="00D25252" w:rsidRPr="002A6BF2">
        <w:rPr>
          <w:lang w:val="en-US"/>
        </w:rPr>
        <w:t xml:space="preserve"> for pinosylvin </w:t>
      </w:r>
      <w:r w:rsidR="008774AA" w:rsidRPr="002A6BF2">
        <w:rPr>
          <w:lang w:val="en-US"/>
        </w:rPr>
        <w:t>synthesis</w:t>
      </w:r>
      <w:r w:rsidR="00155BB2" w:rsidRPr="002A6BF2">
        <w:rPr>
          <w:lang w:val="en-US"/>
        </w:rPr>
        <w:t xml:space="preserve"> or flaviolin synthesis</w:t>
      </w:r>
      <w:r w:rsidR="00D25252" w:rsidRPr="002A6BF2">
        <w:rPr>
          <w:lang w:val="en-US"/>
        </w:rPr>
        <w:t xml:space="preserve"> were integrated at the Tn7</w:t>
      </w:r>
      <w:r w:rsidR="00E1074A" w:rsidRPr="002A6BF2">
        <w:rPr>
          <w:lang w:val="en-US"/>
        </w:rPr>
        <w:t>-</w:t>
      </w:r>
      <w:r w:rsidR="00D25252" w:rsidRPr="002A6BF2">
        <w:rPr>
          <w:lang w:val="en-US"/>
        </w:rPr>
        <w:t>site</w:t>
      </w:r>
      <w:r w:rsidR="008F1B4F" w:rsidRPr="002A6BF2">
        <w:rPr>
          <w:lang w:val="en-US"/>
        </w:rPr>
        <w:t xml:space="preserve"> and</w:t>
      </w:r>
      <w:r w:rsidR="00D25252" w:rsidRPr="002A6BF2">
        <w:rPr>
          <w:lang w:val="en-US"/>
        </w:rPr>
        <w:t xml:space="preserve"> expressed </w:t>
      </w:r>
      <w:r w:rsidR="008F1B4F" w:rsidRPr="002A6BF2">
        <w:rPr>
          <w:lang w:val="en-US"/>
        </w:rPr>
        <w:t xml:space="preserve">using </w:t>
      </w:r>
      <w:r w:rsidR="00D25252" w:rsidRPr="002A6BF2">
        <w:rPr>
          <w:lang w:val="en-US"/>
        </w:rPr>
        <w:t xml:space="preserve">synthetic constitutive promoters </w:t>
      </w:r>
      <w:r w:rsidR="00D25252" w:rsidRPr="002A6BF2">
        <w:rPr>
          <w:lang w:val="en-US"/>
        </w:rPr>
        <w:fldChar w:fldCharType="begin" w:fldLock="1"/>
      </w:r>
      <w:r w:rsidR="00D40894" w:rsidRPr="002A6BF2">
        <w:rPr>
          <w:lang w:val="en-US"/>
        </w:rPr>
        <w:instrText>ADDIN CSL_CITATION {"citationItems":[{"id":"ITEM-1","itemData":{"DOI":"10.1021/acssynbio.5b00058","ISSN":"21615063","abstract":"The soil bacterium Pseudomonas putida is increasingly attracting considerable interest as a platform for advanced metabolic engineering through synthetic biology approaches. However, genomic context, gene copy number, and transcription/translation interplay often introduce considerable uncertainty to the design of reliable genetic constructs. In this work, we have established a standardized heterologous expression device in which the promoter strength is the only variable; the remaining parameters of the flow have stable default values. To this end, we tailored a mini-Tn7 delivery transposon vector that inserts the constructs in a single genomic locus of P. putidas chromosome. This was then merged with a promoter insertion site, an unvarying translational coupler, and a downstream location for placing the gene(s) of interest under fixed assembly rules. This arrangement was exploited to benchmark a collection of synthetic promoters with low transcriptional noise in this bacterial host. Growth experiments and flow cytometry with single-copy promoter-GFP constructs revealed a robust, constitutive behavior of these promoters, whose strengths and properties could be faithfully compared. This standardized expression device significantly extends the repertoire of tools available for reliable metabolic engineering and other genetic enhancements of P. putida.","author":[{"dropping-particle":"","family":"Zobel","given":"Sebastian","non-dropping-particle":"","parse-names":false,"suffix":""},{"dropping-particle":"","family":"Benedetti","given":"Ilaria","non-dropping-particle":"","parse-names":false,"suffix":""},{"dropping-particle":"","family":"Eisenbach","given":"Lara","non-dropping-particle":"","parse-names":false,"suffix":""},{"dropping-particle":"","family":"Lorenzo","given":"Victor","non-dropping-particle":"De","parse-names":false,"suffix":""},{"dropping-particle":"","family":"Wierckx","given":"Nick","non-dropping-particle":"","parse-names":false,"suffix":""},{"dropping-particle":"","family":"Blank","given":"Lars M.","non-dropping-particle":"","parse-names":false,"suffix":""}],"container-title":"ACS Synthetic Biology","id":"ITEM-1","issue":"12","issued":{"date-parts":[["2015"]]},"page":"1341-1351","title":"Tn7-Based Device for Calibrated Heterologous Gene Expression in &lt;i&gt;Pseudomonas putida&lt;/i&gt;","type":"article-journal","volume":"4"},"uris":["http://www.mendeley.com/documents/?uuid=f96a8e6a-0ae6-442f-9896-b2c29b6a263a"]}],"mendeley":{"formattedCitation":"(Zobel et al., 2015)","plainTextFormattedCitation":"(Zobel et al., 2015)","previouslyFormattedCitation":"(Zobel et al., 2015)"},"properties":{"noteIndex":0},"schema":"https://github.com/citation-style-language/schema/raw/master/csl-citation.json"}</w:instrText>
      </w:r>
      <w:r w:rsidR="00D25252" w:rsidRPr="002A6BF2">
        <w:rPr>
          <w:lang w:val="en-US"/>
        </w:rPr>
        <w:fldChar w:fldCharType="separate"/>
      </w:r>
      <w:r w:rsidR="00B255F3" w:rsidRPr="002A6BF2">
        <w:rPr>
          <w:noProof/>
          <w:lang w:val="en-US"/>
        </w:rPr>
        <w:t>(Zobel et al., 2015)</w:t>
      </w:r>
      <w:r w:rsidR="00D25252" w:rsidRPr="002A6BF2">
        <w:rPr>
          <w:lang w:val="en-US"/>
        </w:rPr>
        <w:fldChar w:fldCharType="end"/>
      </w:r>
      <w:r w:rsidR="00D25252" w:rsidRPr="002A6BF2">
        <w:rPr>
          <w:lang w:val="en-US"/>
        </w:rPr>
        <w:t>.</w:t>
      </w:r>
      <w:r w:rsidR="008774AA" w:rsidRPr="002A6BF2">
        <w:rPr>
          <w:lang w:val="en-US"/>
        </w:rPr>
        <w:t xml:space="preserve"> For </w:t>
      </w:r>
      <w:r w:rsidR="008F1B4F" w:rsidRPr="002A6BF2">
        <w:rPr>
          <w:lang w:val="en-US"/>
        </w:rPr>
        <w:t xml:space="preserve">the </w:t>
      </w:r>
      <w:r w:rsidR="008774AA" w:rsidRPr="002A6BF2">
        <w:rPr>
          <w:lang w:val="en-US"/>
        </w:rPr>
        <w:t>recycling of antibiotic resistance marker, constructs with FRT</w:t>
      </w:r>
      <w:r w:rsidR="008F1B4F" w:rsidRPr="002A6BF2">
        <w:rPr>
          <w:lang w:val="en-US"/>
        </w:rPr>
        <w:t xml:space="preserve"> </w:t>
      </w:r>
      <w:r w:rsidR="008774AA" w:rsidRPr="002A6BF2">
        <w:rPr>
          <w:lang w:val="en-US"/>
        </w:rPr>
        <w:t xml:space="preserve">sites flanking the antibiotic resistance gene were used and </w:t>
      </w:r>
      <w:r w:rsidR="00EB1102" w:rsidRPr="002A6BF2">
        <w:rPr>
          <w:lang w:val="en-US"/>
        </w:rPr>
        <w:t xml:space="preserve">followed by </w:t>
      </w:r>
      <w:r w:rsidR="008774AA" w:rsidRPr="002A6BF2">
        <w:rPr>
          <w:lang w:val="en-US"/>
        </w:rPr>
        <w:t xml:space="preserve">transformation with pBBFLP for marker excision </w:t>
      </w:r>
      <w:r w:rsidR="008774AA" w:rsidRPr="002A6BF2">
        <w:rPr>
          <w:lang w:val="en-US"/>
        </w:rPr>
        <w:fldChar w:fldCharType="begin" w:fldLock="1"/>
      </w:r>
      <w:r w:rsidR="00D40894" w:rsidRPr="002A6BF2">
        <w:rPr>
          <w:lang w:val="en-US"/>
        </w:rPr>
        <w:instrText>ADDIN CSL_CITATION {"citationItems":[{"id":"ITEM-1","itemData":{"DOI":"10.1016/j.ymben.2021.05.001","ISSN":"10967176","PMID":"33965615","abstract":"Bio-upcycling of plastics is an upcoming alternative approach for the valorization of diverse polymer waste streams that are too contaminated for traditional recycling technologies. Adipic acid and other medium-chain-length dicarboxylates are key components of many plastics including polyamides, polyesters, and polyurethanes. This study endows Pseudomonas putida KT2440 with efficient metabolism of these dicarboxylates. The dcaAKIJP genes from Acinetobacter baylyi, encoding initial uptake and activation steps for dicarboxylates, were heterologously expressed. Genomic integration of these dca genes proved to be a key factor in efficient and reliable expression. In spite of this, adaptive laboratory evolution was needed to connect these initial steps to the native metabolism of P. putida, thereby enabling growth on adipate as sole carbon source. Genome sequencing of evolved strains revealed a central role of a paa gene cluster, which encodes parts of the phenylacetate metabolic degradation pathway with parallels to adipate metabolism. Fast growth required the additional disruption of the regulator-encoding psrA, which upregulates redundant β-oxidation genes. This knowledge enabled the rational reverse engineering of a strain that can not only use adipate, but also other medium-chain-length dicarboxylates like suberate and sebacate. The reverse engineered strain grows on adipate with a rate of 0.35 ± 0.01 h−1, reaching a final biomass yield of 0.27 ± 0.00 gCDW gadipate−1. In a nitrogen-limited medium this strain produced polyhydroxyalkanoates from adipate up to 25% of its CDW. This proves its applicability for the upcycling of mixtures of polymers made from fossile resources into biodegradable counterparts.","author":[{"dropping-particle":"","family":"Ackermann","given":"Yannic S.","non-dropping-particle":"","parse-names":false,"suffix":""},{"dropping-particle":"","family":"Li","given":"Wing-Jin","non-dropping-particle":"","parse-names":false,"suffix":""},{"dropping-particle":"","family":"Hipt","given":"Leonie","non-dropping-particle":"Op de","parse-names":false,"suffix":""},{"dropping-particle":"","family":"Niehoff","given":"Paul-Joachim","non-dropping-particle":"","parse-names":false,"suffix":""},{"dropping-particle":"","family":"Casey","given":"William","non-dropping-particle":"","parse-names":false,"suffix":""},{"dropping-particle":"","family":"Polen","given":"Tino","non-dropping-particle":"","parse-names":false,"suffix":""},{"dropping-particle":"","family":"Köbbing","given":"Sebastian","non-dropping-particle":"","parse-names":false,"suffix":""},{"dropping-particle":"","family":"Ballerstedt","given":"Hendrik","non-dropping-particle":"","parse-names":false,"suffix":""},{"dropping-particle":"","family":"Wynands","given":"Benedikt","non-dropping-particle":"","parse-names":false,"suffix":""},{"dropping-particle":"","family":"O'Connor","given":"Kevin","non-dropping-particle":"","parse-names":false,"suffix":""},{"dropping-particle":"","family":"Blank","given":"Lars M.","non-dropping-particle":"","parse-names":false,"suffix":""},{"dropping-particle":"","family":"Wierckx","given":"Nick","non-dropping-particle":"","parse-names":false,"suffix":""}],"container-title":"Metabolic Engineering","id":"ITEM-1","issue":"February","issued":{"date-parts":[["2021"]]},"page":"29-40","title":"Engineering adipic acid metabolism in &lt;i&gt;Pseudomonas putida&lt;/i&gt;","type":"article-journal","volume":"67"},"uris":["http://www.mendeley.com/documents/?uuid=467642f3-6aae-4818-b8f9-447044d47800"]}],"mendeley":{"formattedCitation":"(Ackermann et al., 2021)","plainTextFormattedCitation":"(Ackermann et al., 2021)","previouslyFormattedCitation":"(Ackermann et al., 2021)"},"properties":{"noteIndex":0},"schema":"https://github.com/citation-style-language/schema/raw/master/csl-citation.json"}</w:instrText>
      </w:r>
      <w:r w:rsidR="008774AA" w:rsidRPr="002A6BF2">
        <w:rPr>
          <w:lang w:val="en-US"/>
        </w:rPr>
        <w:fldChar w:fldCharType="separate"/>
      </w:r>
      <w:r w:rsidR="00B255F3" w:rsidRPr="002A6BF2">
        <w:rPr>
          <w:noProof/>
          <w:lang w:val="en-US"/>
        </w:rPr>
        <w:t>(Ackermann et al., 2021)</w:t>
      </w:r>
      <w:r w:rsidR="008774AA" w:rsidRPr="002A6BF2">
        <w:rPr>
          <w:lang w:val="en-US"/>
        </w:rPr>
        <w:fldChar w:fldCharType="end"/>
      </w:r>
      <w:r w:rsidR="008774AA" w:rsidRPr="002A6BF2">
        <w:rPr>
          <w:lang w:val="en-US"/>
        </w:rPr>
        <w:t>.</w:t>
      </w:r>
      <w:r w:rsidR="00D25252" w:rsidRPr="002A6BF2">
        <w:rPr>
          <w:lang w:val="en-US"/>
        </w:rPr>
        <w:t xml:space="preserve"> </w:t>
      </w:r>
    </w:p>
    <w:p w14:paraId="331EE946" w14:textId="582E92E4" w:rsidR="00E926CA" w:rsidRPr="002A6BF2" w:rsidRDefault="000D5A67" w:rsidP="00B84A00">
      <w:pPr>
        <w:spacing w:line="276" w:lineRule="auto"/>
        <w:jc w:val="both"/>
        <w:rPr>
          <w:lang w:val="en-US"/>
        </w:rPr>
      </w:pPr>
      <w:r w:rsidRPr="002A6BF2">
        <w:rPr>
          <w:lang w:val="en-US"/>
        </w:rPr>
        <w:t xml:space="preserve">The genes </w:t>
      </w:r>
      <w:r w:rsidRPr="002A6BF2">
        <w:rPr>
          <w:i/>
          <w:lang w:val="en-US"/>
        </w:rPr>
        <w:t>AtPAL2 and Sc4CL</w:t>
      </w:r>
      <w:r w:rsidRPr="002A6BF2">
        <w:rPr>
          <w:i/>
          <w:vertAlign w:val="superscript"/>
          <w:lang w:val="en-US"/>
        </w:rPr>
        <w:t>A294G</w:t>
      </w:r>
      <w:r w:rsidRPr="002A6BF2">
        <w:rPr>
          <w:lang w:val="en-US"/>
        </w:rPr>
        <w:t xml:space="preserve"> were </w:t>
      </w:r>
      <w:r w:rsidR="00AF2B34" w:rsidRPr="002A6BF2">
        <w:rPr>
          <w:lang w:val="en-US"/>
        </w:rPr>
        <w:t>codon-</w:t>
      </w:r>
      <w:r w:rsidRPr="002A6BF2">
        <w:rPr>
          <w:lang w:val="en-US"/>
        </w:rPr>
        <w:t xml:space="preserve">optimized for </w:t>
      </w:r>
      <w:r w:rsidRPr="002A6BF2">
        <w:rPr>
          <w:i/>
          <w:lang w:val="en-US"/>
        </w:rPr>
        <w:t>P.</w:t>
      </w:r>
      <w:r w:rsidR="00C53CF6" w:rsidRPr="002A6BF2">
        <w:rPr>
          <w:i/>
          <w:lang w:val="en-US"/>
        </w:rPr>
        <w:t> </w:t>
      </w:r>
      <w:r w:rsidRPr="002A6BF2">
        <w:rPr>
          <w:i/>
          <w:lang w:val="en-US"/>
        </w:rPr>
        <w:t>taiwanensis</w:t>
      </w:r>
      <w:r w:rsidRPr="002A6BF2">
        <w:rPr>
          <w:lang w:val="en-US"/>
        </w:rPr>
        <w:t xml:space="preserve"> VLB120 </w:t>
      </w:r>
      <w:r w:rsidR="008F1B4F" w:rsidRPr="002A6BF2">
        <w:rPr>
          <w:lang w:val="en-US"/>
        </w:rPr>
        <w:t xml:space="preserve">and obtained </w:t>
      </w:r>
      <w:r w:rsidRPr="002A6BF2">
        <w:rPr>
          <w:lang w:val="en-US"/>
        </w:rPr>
        <w:t>from a previous study</w:t>
      </w:r>
      <w:r w:rsidR="00C53CF6" w:rsidRPr="002A6BF2">
        <w:rPr>
          <w:lang w:val="en-US"/>
        </w:rPr>
        <w:t xml:space="preserve"> </w:t>
      </w:r>
      <w:r w:rsidR="00560FEC" w:rsidRPr="002A6BF2">
        <w:rPr>
          <w:lang w:val="en-US"/>
        </w:rPr>
        <w:t xml:space="preserve">by </w:t>
      </w:r>
      <w:r w:rsidR="00C53CF6" w:rsidRPr="002A6BF2">
        <w:rPr>
          <w:lang w:val="en-US"/>
        </w:rPr>
        <w:fldChar w:fldCharType="begin" w:fldLock="1"/>
      </w:r>
      <w:r w:rsidR="00675192" w:rsidRPr="002A6BF2">
        <w:rPr>
          <w:lang w:val="en-US"/>
        </w:rPr>
        <w:instrText>ADDIN CSL_CITATION {"citationItems":[{"id":"ITEM-1","itemData":{"author":[{"dropping-particle":"","family":"Otto","given":"Maike","non-dropping-particle":"","parse-names":false,"suffix":""},{"dropping-particle":"","family":"Wynands","given":"Benedikt","non-dropping-particle":"","parse-names":false,"suffix":""},{"dropping-particle":"","family":"Lenzen","given":"Christoph","non-dropping-particle":"","parse-names":false,"suffix":""},{"dropping-particle":"","family":"Filbig","given":"Melanie","non-dropping-particle":"","parse-names":false,"suffix":""},{"dropping-particle":"","family":"Blank","given":"Lars M.","non-dropping-particle":"","parse-names":false,"suffix":""},{"dropping-particle":"","family":"Wierckx","given":"Nick","non-dropping-particle":"","parse-names":false,"suffix":""}],"container-title":"Frontiers in Bioengineering and Biotechnology","id":"ITEM-1","issue":"312","issued":{"date-parts":[["2019"]]},"title":"Rational Engineering of Phenylalanine Accumulation in &lt;i&gt;Pseudomonas taiwanensis&lt;/i&gt; to Enable High-Yield Production of &lt;i&gt;Trans&lt;/i&gt;-cinnamate","type":"article-journal","volume":"7"},"uris":["http://www.mendeley.com/documents/?uuid=cc52d9b6-c3a4-4b3e-8064-c01f80200ec1"]},{"id":"ITEM-2","itemData":{"DOI":"10.1002/biot.202000211","ISSN":"1860-6768","PMID":"32721071","author":[{"dropping-particle":"","family":"Otto","given":"Maike","non-dropping-particle":"","parse-names":false,"suffix":""},{"dropping-particle":"","family":"Wynands","given":"Benedikt","non-dropping-particle":"","parse-names":false,"suffix":""},{"dropping-particle":"","family":"Marienhagen","given":"Jan","non-dropping-particle":"","parse-names":false,"suffix":""},{"dropping-particle":"","family":"Blank","given":"Lars M.","non-dropping-particle":"","parse-names":false,"suffix":""},{"dropping-particle":"","family":"Wierckx","given":"Nick","non-dropping-particle":"","parse-names":false,"suffix":""}],"container-title":"Biotechnology Journal","id":"ITEM-2","issued":{"date-parts":[["2020"]]},"page":"2000211","title":"Benzoate Synthesis from Glucose Or Glycerol Using Engineered &lt;i&gt;Pseudomonas taiwanensis&lt;/i&gt;","type":"article-journal","volume":"2000211"},"uris":["http://www.mendeley.com/documents/?uuid=ecab814c-d8ac-4715-8094-302f571710a3"]}],"mendeley":{"formattedCitation":"(Otto et al., 2019, 2020)","manualFormatting":"Otto et al. (2019; 2020)","plainTextFormattedCitation":"(Otto et al., 2019, 2020)","previouslyFormattedCitation":"(Otto et al., 2019, 2020)"},"properties":{"noteIndex":0},"schema":"https://github.com/citation-style-language/schema/raw/master/csl-citation.json"}</w:instrText>
      </w:r>
      <w:r w:rsidR="00C53CF6" w:rsidRPr="002A6BF2">
        <w:rPr>
          <w:lang w:val="en-US"/>
        </w:rPr>
        <w:fldChar w:fldCharType="separate"/>
      </w:r>
      <w:r w:rsidR="00081149" w:rsidRPr="002A6BF2">
        <w:rPr>
          <w:noProof/>
          <w:lang w:val="en-US"/>
        </w:rPr>
        <w:t xml:space="preserve">Otto </w:t>
      </w:r>
      <w:r w:rsidR="00081149" w:rsidRPr="002A6BF2">
        <w:rPr>
          <w:i/>
          <w:noProof/>
          <w:lang w:val="en-US"/>
        </w:rPr>
        <w:t>et al</w:t>
      </w:r>
      <w:r w:rsidR="00081149" w:rsidRPr="002A6BF2">
        <w:rPr>
          <w:noProof/>
          <w:lang w:val="en-US"/>
        </w:rPr>
        <w:t xml:space="preserve">. </w:t>
      </w:r>
      <w:r w:rsidR="00560FEC" w:rsidRPr="002A6BF2">
        <w:rPr>
          <w:noProof/>
          <w:lang w:val="en-US"/>
        </w:rPr>
        <w:t>(</w:t>
      </w:r>
      <w:r w:rsidR="00081149" w:rsidRPr="002A6BF2">
        <w:rPr>
          <w:noProof/>
          <w:lang w:val="en-US"/>
        </w:rPr>
        <w:t>2019; 2020)</w:t>
      </w:r>
      <w:r w:rsidR="00C53CF6" w:rsidRPr="002A6BF2">
        <w:rPr>
          <w:lang w:val="en-US"/>
        </w:rPr>
        <w:fldChar w:fldCharType="end"/>
      </w:r>
      <w:r w:rsidRPr="002A6BF2">
        <w:rPr>
          <w:lang w:val="en-US"/>
        </w:rPr>
        <w:t>. The sequence for AhSTS was</w:t>
      </w:r>
      <w:r w:rsidR="00D14737" w:rsidRPr="002A6BF2">
        <w:rPr>
          <w:lang w:val="en-US"/>
        </w:rPr>
        <w:t xml:space="preserve"> equipped with a </w:t>
      </w:r>
      <w:r w:rsidR="0092701C" w:rsidRPr="002A6BF2">
        <w:rPr>
          <w:lang w:val="en-US"/>
        </w:rPr>
        <w:t xml:space="preserve">N-terminal </w:t>
      </w:r>
      <w:r w:rsidR="00D14737" w:rsidRPr="002A6BF2">
        <w:rPr>
          <w:lang w:val="en-US"/>
        </w:rPr>
        <w:t>his</w:t>
      </w:r>
      <w:r w:rsidR="00D14737" w:rsidRPr="002A6BF2">
        <w:rPr>
          <w:vertAlign w:val="subscript"/>
          <w:lang w:val="en-US"/>
        </w:rPr>
        <w:t>6</w:t>
      </w:r>
      <w:r w:rsidR="00D14737" w:rsidRPr="002A6BF2">
        <w:rPr>
          <w:lang w:val="en-US"/>
        </w:rPr>
        <w:t xml:space="preserve">-tag </w:t>
      </w:r>
      <w:r w:rsidRPr="002A6BF2">
        <w:rPr>
          <w:lang w:val="en-US"/>
        </w:rPr>
        <w:t xml:space="preserve">and </w:t>
      </w:r>
      <w:r w:rsidR="003D1148" w:rsidRPr="002A6BF2">
        <w:rPr>
          <w:lang w:val="en-US"/>
        </w:rPr>
        <w:t xml:space="preserve">additionally a </w:t>
      </w:r>
      <w:r w:rsidRPr="002A6BF2">
        <w:rPr>
          <w:lang w:val="en-US"/>
        </w:rPr>
        <w:t>codon-optimized</w:t>
      </w:r>
      <w:r w:rsidR="003D1148" w:rsidRPr="002A6BF2">
        <w:rPr>
          <w:lang w:val="en-US"/>
        </w:rPr>
        <w:t xml:space="preserve"> version (his.AhSTS</w:t>
      </w:r>
      <w:r w:rsidR="003D1148" w:rsidRPr="002A6BF2">
        <w:rPr>
          <w:vertAlign w:val="subscript"/>
          <w:lang w:val="en-US"/>
        </w:rPr>
        <w:t>opt</w:t>
      </w:r>
      <w:r w:rsidR="003D1148" w:rsidRPr="002A6BF2">
        <w:rPr>
          <w:lang w:val="en-US"/>
        </w:rPr>
        <w:t>)</w:t>
      </w:r>
      <w:r w:rsidRPr="002A6BF2">
        <w:rPr>
          <w:lang w:val="en-US"/>
        </w:rPr>
        <w:t xml:space="preserve"> for </w:t>
      </w:r>
      <w:r w:rsidRPr="002A6BF2">
        <w:rPr>
          <w:i/>
          <w:lang w:val="en-US"/>
        </w:rPr>
        <w:t>P. taiwanensis</w:t>
      </w:r>
      <w:r w:rsidRPr="002A6BF2">
        <w:rPr>
          <w:lang w:val="en-US"/>
        </w:rPr>
        <w:t xml:space="preserve"> VLB120</w:t>
      </w:r>
      <w:r w:rsidR="00EB1102" w:rsidRPr="002A6BF2">
        <w:rPr>
          <w:lang w:val="en-US"/>
        </w:rPr>
        <w:t>,</w:t>
      </w:r>
      <w:r w:rsidRPr="002A6BF2">
        <w:rPr>
          <w:lang w:val="en-US"/>
        </w:rPr>
        <w:t xml:space="preserve"> using the online tool OPTIMIZER </w:t>
      </w:r>
      <w:r w:rsidRPr="002A6BF2">
        <w:rPr>
          <w:lang w:val="en-US"/>
        </w:rPr>
        <w:fldChar w:fldCharType="begin" w:fldLock="1"/>
      </w:r>
      <w:r w:rsidR="00D40894" w:rsidRPr="002A6BF2">
        <w:rPr>
          <w:lang w:val="en-US"/>
        </w:rPr>
        <w:instrText>ADDIN CSL_CITATION {"citationItems":[{"id":"ITEM-1","itemData":{"DOI":"10.1093/nar/gkm219","ISSN":"03051048","abstract":"OPTIMIZER is an on-line application that optimizes the codon usage of a gene to increase its expression level. Three methods of optimization are available: the 'one amino acid-one codon' method, a guided random method based on a Monte Carlo algorithm, and a new method designed to maximize the optimization with the fewest changes in the query sequence. One of the main features of OPTIMIZER is that it makes it possible to optimize a DNA sequence using pre-computed codon usage tables from a predicted group of highly expressed genes from more than 150 prokaryotic species under strong translational selection. These groups of highly expressed genes have been predicted using a new iterative algorithm. In addition, users can use, as a reference set, a precomputed table containing the mean codon usage of ribosomal protein genes and, as a novelty, the tRNA gene-copy numbers. OPTIMIZER is accessible free of charge at http://genomes.urv.es/OPTIMIZER. © 2007 The Author(s).","author":[{"dropping-particle":"","family":"Puigbò","given":"Pere","non-dropping-particle":"","parse-names":false,"suffix":""},{"dropping-particle":"","family":"Guzmán","given":"Eduard","non-dropping-particle":"","parse-names":false,"suffix":""},{"dropping-particle":"","family":"Romeu","given":"Antoni","non-dropping-particle":"","parse-names":false,"suffix":""},{"dropping-particle":"","family":"Garcia-Vallvé","given":"Santiago","non-dropping-particle":"","parse-names":false,"suffix":""}],"container-title":"Nucleic Acids Research","id":"ITEM-1","issue":"SUPPL.2","issued":{"date-parts":[["2007"]]},"page":"126-131","title":"OPTIMIZER: A web server for optimizing the codon usage of DNA sequences","type":"article-journal","volume":"35"},"uris":["http://www.mendeley.com/documents/?uuid=134b63e2-a89e-44a1-9de3-6308b4bb5321"]}],"mendeley":{"formattedCitation":"(Puigbò et al., 2007)","plainTextFormattedCitation":"(Puigbò et al., 2007)","previouslyFormattedCitation":"(Puigbò et al., 2007)"},"properties":{"noteIndex":0},"schema":"https://github.com/citation-style-language/schema/raw/master/csl-citation.json"}</w:instrText>
      </w:r>
      <w:r w:rsidRPr="002A6BF2">
        <w:rPr>
          <w:lang w:val="en-US"/>
        </w:rPr>
        <w:fldChar w:fldCharType="separate"/>
      </w:r>
      <w:r w:rsidR="00B255F3" w:rsidRPr="002A6BF2">
        <w:rPr>
          <w:noProof/>
          <w:lang w:val="en-US"/>
        </w:rPr>
        <w:t>(Puigbò et al., 2007)</w:t>
      </w:r>
      <w:r w:rsidRPr="002A6BF2">
        <w:rPr>
          <w:lang w:val="en-US"/>
        </w:rPr>
        <w:fldChar w:fldCharType="end"/>
      </w:r>
      <w:r w:rsidRPr="002A6BF2">
        <w:rPr>
          <w:lang w:val="en-US"/>
        </w:rPr>
        <w:t xml:space="preserve"> </w:t>
      </w:r>
      <w:r w:rsidR="00D14737" w:rsidRPr="002A6BF2">
        <w:rPr>
          <w:lang w:val="en-US"/>
        </w:rPr>
        <w:t>with</w:t>
      </w:r>
      <w:r w:rsidRPr="002A6BF2">
        <w:rPr>
          <w:lang w:val="en-US"/>
        </w:rPr>
        <w:t xml:space="preserve"> manual cur</w:t>
      </w:r>
      <w:r w:rsidR="00D14737" w:rsidRPr="002A6BF2">
        <w:rPr>
          <w:lang w:val="en-US"/>
        </w:rPr>
        <w:t>ation of</w:t>
      </w:r>
      <w:r w:rsidRPr="002A6BF2">
        <w:rPr>
          <w:lang w:val="en-US"/>
        </w:rPr>
        <w:t xml:space="preserve"> restriction sites according to the SEVA standard</w:t>
      </w:r>
      <w:r w:rsidR="00EB1102" w:rsidRPr="002A6BF2">
        <w:rPr>
          <w:lang w:val="en-US"/>
        </w:rPr>
        <w:t>,</w:t>
      </w:r>
      <w:r w:rsidR="003D1148" w:rsidRPr="002A6BF2">
        <w:rPr>
          <w:lang w:val="en-US"/>
        </w:rPr>
        <w:t xml:space="preserve"> was purchased</w:t>
      </w:r>
      <w:r w:rsidR="00C53CF6" w:rsidRPr="002A6BF2">
        <w:rPr>
          <w:lang w:val="en-US"/>
        </w:rPr>
        <w:t xml:space="preserve"> </w:t>
      </w:r>
      <w:r w:rsidR="00C53CF6" w:rsidRPr="002A6BF2">
        <w:rPr>
          <w:lang w:val="en-US"/>
        </w:rPr>
        <w:fldChar w:fldCharType="begin" w:fldLock="1"/>
      </w:r>
      <w:r w:rsidR="002B6309" w:rsidRPr="002A6BF2">
        <w:rPr>
          <w:lang w:val="en-US"/>
        </w:rPr>
        <w:instrText>ADDIN CSL_CITATION {"citationItems":[{"id":"ITEM-1","itemData":{"DOI":"10.1111/1751-7915.13609","ISSN":"17517915","abstract":"Robust synthetic biology applications rely heavily on the design and assembly of DNA parts with specific functionalities based on engineering principles. However, the assembly standards adopted by different communities vary considerably, thus limiting the interoperability of parts, vectors and methods. We hereby introduce the SEVA 3.1 platform consisting of the SEVA 3.1 vectors and the Golden Gate-based ‘SevaBrick Assembly’. This platform enables the convergence of standard processes between the SEVA platform, the BioBricks and the Type IIs-mediated DNA assemblies to reduce complexity and optimize compatibility between parts and methods. It features a wide library of cloning vectors along with a core set of standard SevaBrick primers that allow multipart assembly and exchange of short functional genetic elements (promoters, RBSs) with minimal cloning and design effort. As proof of concept, we constructed, among others, multiple sfGFP expression vectors under the control of eight RBSs, eight promoters and four origins of replication as well as an inducible four-gene operon expressing the biosynthetic genes for the black pigment proviolacein. To demonstrate the interoperability of the SEVA 3.1 vectors, all constructs were characterized in both Pseudomonas putida and Escherichia coli. In summary, the SEVA 3.1 platform optimizes compatibility and modularity of inserts and backbones with a cost- and time-friendly DNA assembly method, substantially expanding the toolbox for successful synthetic biology applications in Gram-negative bacteria.","author":[{"dropping-particle":"","family":"Damalas","given":"Stamatios G.","non-dropping-particle":"","parse-names":false,"suffix":""},{"dropping-particle":"","family":"Batianis","given":"Christos","non-dropping-particle":"","parse-names":false,"suffix":""},{"dropping-particle":"","family":"Martin-Pascual","given":"Maria","non-dropping-particle":"","parse-names":false,"suffix":""},{"dropping-particle":"","family":"Lorenzo","given":"Victor","non-dropping-particle":"de","parse-names":false,"suffix":""},{"dropping-particle":"","family":"Martins dos Santos","given":"Vitor A.P.","non-dropping-particle":"","parse-names":false,"suffix":""}],"container-title":"Microbial Biotechnology","id":"ITEM-1","issued":{"date-parts":[["2020"]]},"page":"1-14","title":"SEVA 3.1: enabling interoperability of DNA assembly among the SEVA, BioBricks and Type IIS restriction enzyme standards","type":"article-journal","volume":"0"},"uris":["http://www.mendeley.com/documents/?uuid=cffe8511-12c6-4cf2-8d53-400f91b611f5"]},{"id":"ITEM-2","itemData":{"DOI":"10.1093/nar/gkac1059","author":[{"dropping-particle":"","family":"Martínez-García","given":"Esteban","non-dropping-particle":"","parse-names":false,"suffix":""},{"dropping-particle":"","family":"Fraile","given":"Sofía","non-dropping-particle":"","parse-names":false,"suffix":""},{"dropping-particle":"","family":"Algar","given":"Elena","non-dropping-particle":"","parse-names":false,"suffix":""},{"dropping-particle":"","family":"Aparicio","given":"Tomás","non-dropping-particle":"","parse-names":false,"suffix":""},{"dropping-particle":"","family":"Velázquez","given":"Elena","non-dropping-particle":"","parse-names":false,"suffix":""},{"dropping-particle":"","family":"Calles","given":"Belén","non-dropping-particle":"","parse-names":false,"suffix":""},{"dropping-particle":"","family":"Tas","given":"Huseyin","non-dropping-particle":"","parse-names":false,"suffix":""},{"dropping-particle":"","family":"Blázquez","given":"Blas","non-dropping-particle":"","parse-names":false,"suffix":""},{"dropping-particle":"","family":"Martín","given":"Bruno","non-dropping-particle":"","parse-names":false,"suffix":""},{"dropping-particle":"","family":"Prieto","given":"Clara","non-dropping-particle":"","parse-names":false,"suffix":""},{"dropping-particle":"","family":"Sánchez-Sampedro","given":"Lucas","non-dropping-particle":"","parse-names":false,"suffix":""},{"dropping-particle":"","family":"Nørholm","given":"Morten H. H.","non-dropping-particle":"","parse-names":false,"suffix":""},{"dropping-particle":"","family":"Volke","given":"Daniel C.","non-dropping-particle":"","parse-names":false,"suffix":""},{"dropping-particle":"","family":"Wirth","given":"Nicolas T.","non-dropping-particle":"","parse-names":false,"suffix":""},{"dropping-particle":"","family":"Dvořák","given":"Pavel","non-dropping-particle":"","parse-names":false,"suffix":""},{"dropping-particle":"","family":"Alejaldre","given":"Lorea","non-dropping-particle":"","parse-names":false,"suffix":""},{"dropping-particle":"","family":"Grozinger","given":"Lewis","non-dropping-particle":"","parse-names":false,"suffix":""},{"dropping-particle":"","family":"Crowther","given":"Matthew","non-dropping-particle":"","parse-names":false,"suffix":""},{"dropping-particle":"","family":"Goñi-Moreno","given":"Angel","non-dropping-particle":"","parse-names":false,"suffix":""},{"dropping-particle":"","family":"Nikel","given":"Pablo I.","non-dropping-particle":"","parse-names":false,"suffix":""},{"dropping-particle":"","family":"Nogales","given":"Juan","non-dropping-particle":"","parse-names":false,"suffix":""},{"dropping-particle":"","family":"Lorenzo","given":"Víctor","non-dropping-particle":"de","parse-names":false,"suffix":""}],"container-title":"Nucleic Acids Research","id":"ITEM-2","issued":{"date-parts":[["2022"]]},"page":"1-10","title":"SEVA 4.0: an update of the Standard European Vector Architecture database for advanced analysis and programming of bacterial phenotypes","type":"article-journal"},"uris":["http://www.mendeley.com/documents/?uuid=1086c43d-c6fe-4889-97e0-f15e6adef6e8"]}],"mendeley":{"formattedCitation":"(Damalas et al., 2020; Martínez-García et al., 2022)","plainTextFormattedCitation":"(Damalas et al., 2020; Martínez-García et al., 2022)","previouslyFormattedCitation":"(Damalas et al., 2020; Martínez-García et al., 2022)"},"properties":{"noteIndex":0},"schema":"https://github.com/citation-style-language/schema/raw/master/csl-citation.json"}</w:instrText>
      </w:r>
      <w:r w:rsidR="00C53CF6" w:rsidRPr="002A6BF2">
        <w:rPr>
          <w:lang w:val="en-US"/>
        </w:rPr>
        <w:fldChar w:fldCharType="separate"/>
      </w:r>
      <w:r w:rsidR="0019010E" w:rsidRPr="002A6BF2">
        <w:rPr>
          <w:noProof/>
          <w:lang w:val="en-US"/>
        </w:rPr>
        <w:t>(Damalas et al., 2020; Martínez-García et al., 2022)</w:t>
      </w:r>
      <w:r w:rsidR="00C53CF6" w:rsidRPr="002A6BF2">
        <w:rPr>
          <w:lang w:val="en-US"/>
        </w:rPr>
        <w:fldChar w:fldCharType="end"/>
      </w:r>
      <w:r w:rsidR="00D14737" w:rsidRPr="002A6BF2">
        <w:rPr>
          <w:lang w:val="en-US"/>
        </w:rPr>
        <w:t>. Genes were</w:t>
      </w:r>
      <w:r w:rsidRPr="002A6BF2">
        <w:rPr>
          <w:lang w:val="en-US"/>
        </w:rPr>
        <w:t xml:space="preserve"> ordered as synthetic DNA fragments from Thermo Fisher Scientific</w:t>
      </w:r>
      <w:r w:rsidR="002F4A57" w:rsidRPr="002A6BF2">
        <w:rPr>
          <w:lang w:val="en-US"/>
        </w:rPr>
        <w:t xml:space="preserve"> </w:t>
      </w:r>
      <w:r w:rsidR="002F4A57" w:rsidRPr="002A6BF2">
        <w:rPr>
          <w:i/>
          <w:lang w:val="en-US"/>
        </w:rPr>
        <w:t>GeneArt</w:t>
      </w:r>
      <w:r w:rsidRPr="002A6BF2">
        <w:rPr>
          <w:lang w:val="en-US"/>
        </w:rPr>
        <w:t xml:space="preserve"> (</w:t>
      </w:r>
      <w:r w:rsidR="00C03932" w:rsidRPr="002A6BF2">
        <w:rPr>
          <w:lang w:val="en-US"/>
        </w:rPr>
        <w:t>Regensburg</w:t>
      </w:r>
      <w:r w:rsidRPr="002A6BF2">
        <w:rPr>
          <w:lang w:val="en-US"/>
        </w:rPr>
        <w:t xml:space="preserve">, </w:t>
      </w:r>
      <w:r w:rsidR="00C03932" w:rsidRPr="002A6BF2">
        <w:rPr>
          <w:lang w:val="en-US"/>
        </w:rPr>
        <w:t>Germany</w:t>
      </w:r>
      <w:r w:rsidRPr="002A6BF2">
        <w:rPr>
          <w:lang w:val="en-US"/>
        </w:rPr>
        <w:t>).</w:t>
      </w:r>
      <w:r w:rsidR="0092701C" w:rsidRPr="002A6BF2">
        <w:rPr>
          <w:lang w:val="en-US"/>
        </w:rPr>
        <w:t xml:space="preserve"> </w:t>
      </w:r>
      <w:r w:rsidR="0015020C" w:rsidRPr="002A6BF2">
        <w:rPr>
          <w:lang w:val="en-US"/>
        </w:rPr>
        <w:t xml:space="preserve">Stilbene synthases </w:t>
      </w:r>
      <w:r w:rsidR="0092701C" w:rsidRPr="002A6BF2">
        <w:rPr>
          <w:lang w:val="en-US"/>
        </w:rPr>
        <w:t>AhSTS, PsSTS</w:t>
      </w:r>
      <w:r w:rsidR="003039B4" w:rsidRPr="002A6BF2">
        <w:rPr>
          <w:lang w:val="en-US"/>
        </w:rPr>
        <w:t>,</w:t>
      </w:r>
      <w:r w:rsidR="0092701C" w:rsidRPr="002A6BF2">
        <w:rPr>
          <w:lang w:val="en-US"/>
        </w:rPr>
        <w:t xml:space="preserve"> and HisPsSTS</w:t>
      </w:r>
      <w:r w:rsidR="0015020C" w:rsidRPr="002A6BF2">
        <w:rPr>
          <w:vertAlign w:val="superscript"/>
          <w:lang w:val="en-US"/>
        </w:rPr>
        <w:t>T248A</w:t>
      </w:r>
      <w:r w:rsidR="0092701C" w:rsidRPr="002A6BF2">
        <w:rPr>
          <w:lang w:val="en-US"/>
        </w:rPr>
        <w:t xml:space="preserve"> were </w:t>
      </w:r>
      <w:r w:rsidR="0015020C" w:rsidRPr="002A6BF2">
        <w:rPr>
          <w:lang w:val="en-US"/>
        </w:rPr>
        <w:t xml:space="preserve">provided </w:t>
      </w:r>
      <w:r w:rsidR="002F4A57" w:rsidRPr="002A6BF2">
        <w:rPr>
          <w:lang w:val="en-US"/>
        </w:rPr>
        <w:t>by</w:t>
      </w:r>
      <w:r w:rsidR="0015020C" w:rsidRPr="002A6BF2">
        <w:rPr>
          <w:lang w:val="en-US"/>
        </w:rPr>
        <w:t xml:space="preserve"> </w:t>
      </w:r>
      <w:r w:rsidR="0015020C" w:rsidRPr="002A6BF2">
        <w:rPr>
          <w:lang w:val="en-US"/>
        </w:rPr>
        <w:fldChar w:fldCharType="begin" w:fldLock="1"/>
      </w:r>
      <w:r w:rsidR="0051582F" w:rsidRPr="002A6BF2">
        <w:rPr>
          <w:lang w:val="en-US"/>
        </w:rPr>
        <w:instrText>ADDIN CSL_CITATION {"citationItems":[{"id":"ITEM-1","itemData":{"DOI":"10.1128/AEM.02966-14","ISSN":"10985336","abstract":"Plant polyphenols are of great interest for drug discovery and drug development since many of these compounds have healthpromoting activities as treatments against various diseases, such as diabetes, cancer, or heart diseases. However, the limited availability of polyphenols represents a major obstacle to clinical applications that must be overcome. In comparison to the quantities of these compounds obtained by isolation from natural sources or costly chemical synthesis, the microbial production of these compounds could provide sufficient quantities from inexpensive substrates. In this work, we describe the development of an Escherichia coli platform strain for the production of pinosylvin, a stilbene found in the heartwood of pine trees which could aid in the treatment of various cancers and cardiovascular diseases. Initially, several configurations of the three-step biosynthetic pathway to pinosylvin were constructed from a set of two different enzymes for each enzymatic step. After optimization of gene expression and evaluation of different construct environments, low pinosylvin concentrations up to 3 mg/liter could be detected. Analysis of the precursor supply and a comparative analysis of the intracellular pools of pathway intermediates and product identified the limited malonyl coenzyme A (malonyl-CoA) availability and low stilbene synthase activity in the heterologous host to be the main bottlenecks during pinosylvin production. Addition of cerulenin for increasing intracellular malonyl-CoA pools and the in vivo evolution of the stilbene synthase from Pinus strobus for improved activity in E. coli proved to be the keys to elevated product titers. These measures allowed product titers of 70 mg/liter pinosylvin from glucose, which could be further increased to 91 mg/liter by the addition of L-phenylalanine.","author":[{"dropping-particle":"","family":"Summeren-Wesenhagen","given":"Philana Veronica","non-dropping-particle":"van","parse-names":false,"suffix":""},{"dropping-particle":"","family":"Marienhagen","given":"Jan","non-dropping-particle":"","parse-names":false,"suffix":""}],"container-title":"Applied and Environmental Microbiology","id":"ITEM-1","issue":"3","issued":{"date-parts":[["2015"]]},"page":"840-849","title":"Metabolic engineering of &lt;i&gt;Escherichia coli&lt;/i&gt; for the synthesis of the plant polyphenol pinosylvin","type":"article-journal","volume":"81"},"uris":["http://www.mendeley.com/documents/?uuid=1a3f8e0f-eccf-400b-822b-29a759088be3"]}],"mendeley":{"formattedCitation":"(van Summeren-Wesenhagen &amp; Marienhagen, 2015)","manualFormatting":"van Summeren-Wesenhagen and Marienhagen (2015","plainTextFormattedCitation":"(van Summeren-Wesenhagen &amp; Marienhagen, 2015)","previouslyFormattedCitation":"(van Summeren-Wesenhagen &amp; Marienhagen, 2015)"},"properties":{"noteIndex":0},"schema":"https://github.com/citation-style-language/schema/raw/master/csl-citation.json"}</w:instrText>
      </w:r>
      <w:r w:rsidR="0015020C" w:rsidRPr="002A6BF2">
        <w:rPr>
          <w:lang w:val="en-US"/>
        </w:rPr>
        <w:fldChar w:fldCharType="separate"/>
      </w:r>
      <w:r w:rsidR="0015020C" w:rsidRPr="002A6BF2">
        <w:rPr>
          <w:noProof/>
          <w:lang w:val="en-US"/>
        </w:rPr>
        <w:t xml:space="preserve">van Summeren-Wesenhagen and Marienhagen </w:t>
      </w:r>
      <w:r w:rsidR="00530EE9" w:rsidRPr="002A6BF2">
        <w:rPr>
          <w:noProof/>
          <w:lang w:val="en-US"/>
        </w:rPr>
        <w:t>(</w:t>
      </w:r>
      <w:r w:rsidR="0015020C" w:rsidRPr="002A6BF2">
        <w:rPr>
          <w:noProof/>
          <w:lang w:val="en-US"/>
        </w:rPr>
        <w:t>2015</w:t>
      </w:r>
      <w:r w:rsidR="0015020C" w:rsidRPr="002A6BF2">
        <w:rPr>
          <w:lang w:val="en-US"/>
        </w:rPr>
        <w:fldChar w:fldCharType="end"/>
      </w:r>
      <w:r w:rsidR="00530EE9" w:rsidRPr="002A6BF2">
        <w:rPr>
          <w:lang w:val="en-US"/>
        </w:rPr>
        <w:t>)</w:t>
      </w:r>
      <w:r w:rsidR="0015020C" w:rsidRPr="002A6BF2">
        <w:rPr>
          <w:lang w:val="en-US"/>
        </w:rPr>
        <w:t>.</w:t>
      </w:r>
      <w:r w:rsidR="000C3799" w:rsidRPr="002A6BF2">
        <w:rPr>
          <w:lang w:val="en-US"/>
        </w:rPr>
        <w:t xml:space="preserve"> Template for </w:t>
      </w:r>
      <w:r w:rsidR="00850929" w:rsidRPr="002A6BF2">
        <w:rPr>
          <w:lang w:val="en-US"/>
        </w:rPr>
        <w:t>acetyl-CoA carboxylase</w:t>
      </w:r>
      <w:r w:rsidR="000C3799" w:rsidRPr="002A6BF2">
        <w:rPr>
          <w:lang w:val="en-US"/>
        </w:rPr>
        <w:t xml:space="preserve"> from </w:t>
      </w:r>
      <w:r w:rsidR="000C3799" w:rsidRPr="002A6BF2">
        <w:rPr>
          <w:i/>
          <w:lang w:val="en-US"/>
        </w:rPr>
        <w:t>C.</w:t>
      </w:r>
      <w:r w:rsidR="00D14737" w:rsidRPr="002A6BF2">
        <w:rPr>
          <w:i/>
          <w:lang w:val="en-US"/>
        </w:rPr>
        <w:t> </w:t>
      </w:r>
      <w:r w:rsidR="000C3799" w:rsidRPr="002A6BF2">
        <w:rPr>
          <w:i/>
          <w:lang w:val="en-US"/>
        </w:rPr>
        <w:t>glutamicum</w:t>
      </w:r>
      <w:r w:rsidR="000C3799" w:rsidRPr="002A6BF2">
        <w:rPr>
          <w:lang w:val="en-US"/>
        </w:rPr>
        <w:t xml:space="preserve"> </w:t>
      </w:r>
      <w:r w:rsidR="003F2574" w:rsidRPr="002A6BF2">
        <w:rPr>
          <w:lang w:val="en-US"/>
        </w:rPr>
        <w:t xml:space="preserve">(CgACC) </w:t>
      </w:r>
      <w:r w:rsidR="000C3799" w:rsidRPr="002A6BF2">
        <w:rPr>
          <w:lang w:val="en-US"/>
        </w:rPr>
        <w:t>was pEKEx3_</w:t>
      </w:r>
      <w:r w:rsidR="000C3799" w:rsidRPr="002A6BF2">
        <w:rPr>
          <w:i/>
          <w:lang w:val="en-US"/>
        </w:rPr>
        <w:t>accBC_accD1</w:t>
      </w:r>
      <w:r w:rsidR="007B3D10" w:rsidRPr="002A6BF2">
        <w:rPr>
          <w:lang w:val="en-US"/>
        </w:rPr>
        <w:t xml:space="preserve"> </w:t>
      </w:r>
      <w:r w:rsidR="007B3D10" w:rsidRPr="002A6BF2">
        <w:rPr>
          <w:lang w:val="en-US"/>
        </w:rPr>
        <w:fldChar w:fldCharType="begin" w:fldLock="1"/>
      </w:r>
      <w:r w:rsidR="00D40894" w:rsidRPr="002A6BF2">
        <w:rPr>
          <w:lang w:val="en-US"/>
        </w:rPr>
        <w:instrText>ADDIN CSL_CITATION {"citationItems":[{"id":"ITEM-1","itemData":{"DOI":"10.1002/bit.26939","ISSN":"10970290","abstract":"In recent years microorganisms have been engineered towards synthesizing interesting plant polyphenols such as flavonoids and stilbenes from glucose. Currently, the low endogenous supply of malonyl-CoA, indispensable for plant polyphenol synthesis, impedes high product titers. Usually, limited malonyl-CoA availability during plant polyphenol production is avoided by supplementing fatty acid synthesis-inhibiting antibiotics such as cerulenin, which are known to increase the intracellular malonyl-CoA pool as a side effect. Motivated by the goal of microbial polyphenol synthesis being independent of such expensive additives, we used rational metabolic engineering approaches to modulate regulation of fatty acid synthesis and flux into the tricarboxylic acid cycle (TCA cycle) in Corynebacterium glutamicum strains capable of flavonoid and stilbene synthesis. Initial experiments showed that sole overexpression of genes coding for the native malonyl-CoA-forming acetyl-CoA carboxylase is not sufficient for increasing polyphenol production in C. glutamicum. Hence, the intracellular acetyl-CoA availability was also increased by reducing the flux into the TCA cycle through reduction of citrate synthase activity. In defined cultivation medium, the constructed C. glutamicum strains accumulated 24 mg·L −1 (0.088 mM) naringenin or 112 mg·L −1 (0.49 mM) resveratrol from glucose without supplementation of phenylpropanoid precursor molecules or any inhibitors of fatty acid synthesis.","author":[{"dropping-particle":"","family":"Milke","given":"Lars","non-dropping-particle":"","parse-names":false,"suffix":""},{"dropping-particle":"","family":"Ferreira","given":"Patrícia","non-dropping-particle":"","parse-names":false,"suffix":""},{"dropping-particle":"","family":"Kallscheuer","given":"Nicolai","non-dropping-particle":"","parse-names":false,"suffix":""},{"dropping-particle":"","family":"Braga","given":"Adelaide","non-dropping-particle":"","parse-names":false,"suffix":""},{"dropping-particle":"","family":"Vogt","given":"Michael","non-dropping-particle":"","parse-names":false,"suffix":""},{"dropping-particle":"","family":"Kappelmann","given":"Jannick","non-dropping-particle":"","parse-names":false,"suffix":""},{"dropping-particle":"","family":"Oliveira","given":"Joana","non-dropping-particle":"","parse-names":false,"suffix":""},{"dropping-particle":"","family":"Silva","given":"Ana Rita","non-dropping-particle":"","parse-names":false,"suffix":""},{"dropping-particle":"","family":"Rocha","given":"Isabel","non-dropping-particle":"","parse-names":false,"suffix":""},{"dropping-particle":"","family":"Bott","given":"Michael","non-dropping-particle":"","parse-names":false,"suffix":""},{"dropping-particle":"","family":"Noack","given":"Stephan","non-dropping-particle":"","parse-names":false,"suffix":""},{"dropping-particle":"","family":"Faria","given":"Nuno","non-dropping-particle":"","parse-names":false,"suffix":""},{"dropping-particle":"","family":"Marienhagen","given":"Jan","non-dropping-particle":"","parse-names":false,"suffix":""}],"container-title":"Biotechnology and Bioengineering","id":"ITEM-1","issue":"6","issued":{"date-parts":[["2019"]]},"page":"1380-1391","title":"Modulation of the central carbon metabolism of &lt;i&gt;Corynebacterium glutamicum&lt;/i&gt; improves malonyl-CoA availability and increases plant polyphenol synthesis","type":"article-journal","volume":"116"},"uris":["http://www.mendeley.com/documents/?uuid=3f6f1c2b-d76b-40ca-9f43-c854e7a6706e"]}],"mendeley":{"formattedCitation":"(Milke, Ferreira, et al., 2019)","plainTextFormattedCitation":"(Milke, Ferreira, et al., 2019)","previouslyFormattedCitation":"(Milke, Ferreira, et al., 2019)"},"properties":{"noteIndex":0},"schema":"https://github.com/citation-style-language/schema/raw/master/csl-citation.json"}</w:instrText>
      </w:r>
      <w:r w:rsidR="007B3D10" w:rsidRPr="002A6BF2">
        <w:rPr>
          <w:lang w:val="en-US"/>
        </w:rPr>
        <w:fldChar w:fldCharType="separate"/>
      </w:r>
      <w:r w:rsidR="00B255F3" w:rsidRPr="002A6BF2">
        <w:rPr>
          <w:noProof/>
          <w:lang w:val="en-US"/>
        </w:rPr>
        <w:t xml:space="preserve">(Milke, </w:t>
      </w:r>
      <w:r w:rsidR="00B255F3" w:rsidRPr="002A6BF2">
        <w:rPr>
          <w:noProof/>
          <w:lang w:val="en-US"/>
        </w:rPr>
        <w:lastRenderedPageBreak/>
        <w:t>Ferreira, et al., 2019)</w:t>
      </w:r>
      <w:r w:rsidR="007B3D10" w:rsidRPr="002A6BF2">
        <w:rPr>
          <w:lang w:val="en-US"/>
        </w:rPr>
        <w:fldChar w:fldCharType="end"/>
      </w:r>
      <w:r w:rsidR="0092701C" w:rsidRPr="002A6BF2">
        <w:rPr>
          <w:lang w:val="en-US"/>
        </w:rPr>
        <w:t>;</w:t>
      </w:r>
      <w:r w:rsidR="00D14737" w:rsidRPr="002A6BF2">
        <w:rPr>
          <w:lang w:val="en-US"/>
        </w:rPr>
        <w:t xml:space="preserve"> </w:t>
      </w:r>
      <w:r w:rsidR="00C30FB8" w:rsidRPr="002A6BF2">
        <w:rPr>
          <w:lang w:val="en-US"/>
        </w:rPr>
        <w:t xml:space="preserve">SgRppA </w:t>
      </w:r>
      <w:r w:rsidR="0015020C" w:rsidRPr="002A6BF2">
        <w:rPr>
          <w:lang w:val="en-US"/>
        </w:rPr>
        <w:t xml:space="preserve">was </w:t>
      </w:r>
      <w:r w:rsidR="00AF2B34" w:rsidRPr="002A6BF2">
        <w:rPr>
          <w:lang w:val="en-US"/>
        </w:rPr>
        <w:t>codon-</w:t>
      </w:r>
      <w:r w:rsidR="0015020C" w:rsidRPr="002A6BF2">
        <w:rPr>
          <w:lang w:val="en-US"/>
        </w:rPr>
        <w:t>optimized as described before for his.AhSTS</w:t>
      </w:r>
      <w:r w:rsidR="0015020C" w:rsidRPr="002A6BF2">
        <w:rPr>
          <w:vertAlign w:val="subscript"/>
          <w:lang w:val="en-US"/>
        </w:rPr>
        <w:t>opt</w:t>
      </w:r>
      <w:r w:rsidR="00D14737" w:rsidRPr="002A6BF2">
        <w:rPr>
          <w:lang w:val="en-US"/>
        </w:rPr>
        <w:t>.</w:t>
      </w:r>
      <w:r w:rsidR="0092701C" w:rsidRPr="002A6BF2">
        <w:rPr>
          <w:lang w:val="en-US"/>
        </w:rPr>
        <w:t xml:space="preserve"> </w:t>
      </w:r>
      <w:r w:rsidR="003B05E9" w:rsidRPr="002A6BF2">
        <w:rPr>
          <w:lang w:val="en-US"/>
        </w:rPr>
        <w:t xml:space="preserve">Sequences of ordered </w:t>
      </w:r>
      <w:r w:rsidR="004D5A8B" w:rsidRPr="002A6BF2">
        <w:rPr>
          <w:lang w:val="en-US"/>
        </w:rPr>
        <w:t xml:space="preserve">synthetic </w:t>
      </w:r>
      <w:r w:rsidR="003B05E9" w:rsidRPr="002A6BF2">
        <w:rPr>
          <w:lang w:val="en-US"/>
        </w:rPr>
        <w:t xml:space="preserve">DNA </w:t>
      </w:r>
      <w:r w:rsidR="004D5A8B" w:rsidRPr="002A6BF2">
        <w:rPr>
          <w:lang w:val="en-US"/>
        </w:rPr>
        <w:t>fragments</w:t>
      </w:r>
      <w:r w:rsidR="003B05E9" w:rsidRPr="002A6BF2">
        <w:rPr>
          <w:lang w:val="en-US"/>
        </w:rPr>
        <w:t xml:space="preserve"> can be seen in </w:t>
      </w:r>
      <w:r w:rsidR="008F52BF" w:rsidRPr="002A6BF2">
        <w:rPr>
          <w:lang w:val="en-US"/>
        </w:rPr>
        <w:t>T</w:t>
      </w:r>
      <w:r w:rsidR="003B05E9" w:rsidRPr="002A6BF2">
        <w:rPr>
          <w:lang w:val="en-US"/>
        </w:rPr>
        <w:t xml:space="preserve">able </w:t>
      </w:r>
      <w:r w:rsidR="009A416F" w:rsidRPr="002A6BF2">
        <w:rPr>
          <w:lang w:val="en-US"/>
        </w:rPr>
        <w:t>S</w:t>
      </w:r>
      <w:r w:rsidR="00EB1102" w:rsidRPr="002A6BF2">
        <w:rPr>
          <w:lang w:val="en-US"/>
        </w:rPr>
        <w:t>4</w:t>
      </w:r>
      <w:r w:rsidR="003B05E9" w:rsidRPr="002A6BF2">
        <w:rPr>
          <w:lang w:val="en-US"/>
        </w:rPr>
        <w:t>.</w:t>
      </w:r>
    </w:p>
    <w:p w14:paraId="7DE54E54" w14:textId="77777777" w:rsidR="005E08D8" w:rsidRPr="002A6BF2" w:rsidRDefault="005E08D8" w:rsidP="00B84A00">
      <w:pPr>
        <w:spacing w:line="276" w:lineRule="auto"/>
        <w:jc w:val="both"/>
        <w:rPr>
          <w:lang w:val="en-US"/>
        </w:rPr>
      </w:pPr>
    </w:p>
    <w:p w14:paraId="10ADA10A" w14:textId="253D878C" w:rsidR="00931B1E" w:rsidRPr="002A6BF2" w:rsidRDefault="00A27412" w:rsidP="00B84A00">
      <w:pPr>
        <w:pStyle w:val="berschrift2"/>
        <w:numPr>
          <w:ilvl w:val="1"/>
          <w:numId w:val="11"/>
        </w:numPr>
        <w:spacing w:line="276" w:lineRule="auto"/>
        <w:rPr>
          <w:lang w:val="en-US"/>
        </w:rPr>
      </w:pPr>
      <w:r w:rsidRPr="002A6BF2">
        <w:rPr>
          <w:lang w:val="en-US"/>
        </w:rPr>
        <w:t>Sampling and a</w:t>
      </w:r>
      <w:r w:rsidR="00931B1E" w:rsidRPr="002A6BF2">
        <w:rPr>
          <w:lang w:val="en-US"/>
        </w:rPr>
        <w:t>naly</w:t>
      </w:r>
      <w:r w:rsidRPr="002A6BF2">
        <w:rPr>
          <w:lang w:val="en-US"/>
        </w:rPr>
        <w:t>sis</w:t>
      </w:r>
      <w:r w:rsidR="00931B1E" w:rsidRPr="002A6BF2">
        <w:rPr>
          <w:lang w:val="en-US"/>
        </w:rPr>
        <w:t>:</w:t>
      </w:r>
    </w:p>
    <w:p w14:paraId="7007AEFB" w14:textId="12D5D201" w:rsidR="000B5E23" w:rsidRPr="002A6BF2" w:rsidRDefault="000B5E23" w:rsidP="00B84A00">
      <w:pPr>
        <w:spacing w:line="276" w:lineRule="auto"/>
        <w:jc w:val="both"/>
        <w:rPr>
          <w:lang w:val="en-US"/>
        </w:rPr>
      </w:pPr>
      <w:r w:rsidRPr="002A6BF2">
        <w:rPr>
          <w:lang w:val="en-US"/>
        </w:rPr>
        <w:t>M</w:t>
      </w:r>
      <w:r w:rsidR="00CF4D6D" w:rsidRPr="002A6BF2">
        <w:rPr>
          <w:lang w:val="en-US"/>
        </w:rPr>
        <w:t>anual m</w:t>
      </w:r>
      <w:r w:rsidRPr="002A6BF2">
        <w:rPr>
          <w:lang w:val="en-US"/>
        </w:rPr>
        <w:t>easurements of the optical density were performed at 600</w:t>
      </w:r>
      <w:r w:rsidR="00FF1774" w:rsidRPr="002A6BF2">
        <w:rPr>
          <w:lang w:val="en-US"/>
        </w:rPr>
        <w:t> </w:t>
      </w:r>
      <w:r w:rsidRPr="002A6BF2">
        <w:rPr>
          <w:lang w:val="en-US"/>
        </w:rPr>
        <w:t>nm with GE Healthcare Ultrospec</w:t>
      </w:r>
      <w:r w:rsidRPr="002A6BF2">
        <w:rPr>
          <w:vertAlign w:val="superscript"/>
          <w:lang w:val="en-US"/>
        </w:rPr>
        <w:t>TM</w:t>
      </w:r>
      <w:r w:rsidRPr="002A6BF2">
        <w:rPr>
          <w:lang w:val="en-US"/>
        </w:rPr>
        <w:t xml:space="preserve"> 10 device from Fischer Scientific GmbH (Schwerte, Germany).</w:t>
      </w:r>
    </w:p>
    <w:p w14:paraId="2FE62A0F" w14:textId="19C2AD86" w:rsidR="005C4000" w:rsidRPr="002A6BF2" w:rsidRDefault="004C3268" w:rsidP="00B84A00">
      <w:pPr>
        <w:spacing w:line="276" w:lineRule="auto"/>
        <w:jc w:val="both"/>
        <w:rPr>
          <w:lang w:val="en-US"/>
        </w:rPr>
      </w:pPr>
      <w:r w:rsidRPr="002A6BF2">
        <w:rPr>
          <w:lang w:val="en-US"/>
        </w:rPr>
        <w:t xml:space="preserve">The online analysis of culture growth by the Growth Profiler device is based on read out of the green pixels of a taken photo. </w:t>
      </w:r>
      <w:r w:rsidR="005C4000" w:rsidRPr="002A6BF2">
        <w:rPr>
          <w:lang w:val="en-US"/>
        </w:rPr>
        <w:t>Measured green values by Growth Profiler from photographs’ pixels were converted into OD</w:t>
      </w:r>
      <w:r w:rsidR="005C4000" w:rsidRPr="002A6BF2">
        <w:rPr>
          <w:vertAlign w:val="subscript"/>
          <w:lang w:val="en-US"/>
        </w:rPr>
        <w:t>600</w:t>
      </w:r>
      <w:r w:rsidR="005C4000" w:rsidRPr="002A6BF2">
        <w:rPr>
          <w:lang w:val="en-US"/>
        </w:rPr>
        <w:t xml:space="preserve"> equivalent values based on a calibration with </w:t>
      </w:r>
      <w:r w:rsidR="005C4000" w:rsidRPr="002A6BF2">
        <w:rPr>
          <w:i/>
          <w:lang w:val="en-US"/>
        </w:rPr>
        <w:t>P. taiwanensis</w:t>
      </w:r>
      <w:r w:rsidR="005C4000" w:rsidRPr="002A6BF2">
        <w:rPr>
          <w:lang w:val="en-US"/>
        </w:rPr>
        <w:t xml:space="preserve"> VLB120 wild</w:t>
      </w:r>
      <w:r w:rsidR="007F5EB6" w:rsidRPr="002A6BF2">
        <w:rPr>
          <w:lang w:val="en-US"/>
        </w:rPr>
        <w:t>-</w:t>
      </w:r>
      <w:r w:rsidR="005C4000" w:rsidRPr="002A6BF2">
        <w:rPr>
          <w:lang w:val="en-US"/>
        </w:rPr>
        <w:t xml:space="preserve">type strain (Supplementary </w:t>
      </w:r>
      <w:r w:rsidR="009C1583" w:rsidRPr="002A6BF2">
        <w:rPr>
          <w:lang w:val="en-US"/>
        </w:rPr>
        <w:t>S5</w:t>
      </w:r>
      <w:r w:rsidR="005C4000" w:rsidRPr="002A6BF2">
        <w:rPr>
          <w:lang w:val="en-US"/>
        </w:rPr>
        <w:t>).</w:t>
      </w:r>
    </w:p>
    <w:p w14:paraId="71D0D5C8" w14:textId="79652C44" w:rsidR="00CF7886" w:rsidRPr="002A6BF2" w:rsidRDefault="009472A9" w:rsidP="00B84A00">
      <w:pPr>
        <w:spacing w:line="276" w:lineRule="auto"/>
        <w:jc w:val="both"/>
        <w:rPr>
          <w:lang w:val="en-US"/>
        </w:rPr>
      </w:pPr>
      <w:r w:rsidRPr="002A6BF2">
        <w:rPr>
          <w:lang w:val="en-US"/>
        </w:rPr>
        <w:t>Compounds of interest</w:t>
      </w:r>
      <w:r w:rsidR="0023392E" w:rsidRPr="002A6BF2">
        <w:rPr>
          <w:lang w:val="en-US"/>
        </w:rPr>
        <w:t xml:space="preserve"> were analy</w:t>
      </w:r>
      <w:r w:rsidR="00CF4D6D" w:rsidRPr="002A6BF2">
        <w:rPr>
          <w:lang w:val="en-US"/>
        </w:rPr>
        <w:t>z</w:t>
      </w:r>
      <w:r w:rsidR="0023392E" w:rsidRPr="002A6BF2">
        <w:rPr>
          <w:lang w:val="en-US"/>
        </w:rPr>
        <w:t>ed by high performance liquid chromatography (</w:t>
      </w:r>
      <w:r w:rsidR="00B35D69" w:rsidRPr="002A6BF2">
        <w:rPr>
          <w:lang w:val="en-US"/>
        </w:rPr>
        <w:t>HPLC</w:t>
      </w:r>
      <w:r w:rsidR="0023392E" w:rsidRPr="002A6BF2">
        <w:rPr>
          <w:lang w:val="en-US"/>
        </w:rPr>
        <w:t>)</w:t>
      </w:r>
      <w:r w:rsidR="000B5E23" w:rsidRPr="002A6BF2">
        <w:rPr>
          <w:lang w:val="en-US"/>
        </w:rPr>
        <w:t>. Samples</w:t>
      </w:r>
      <w:r w:rsidRPr="002A6BF2">
        <w:rPr>
          <w:lang w:val="en-US"/>
        </w:rPr>
        <w:t xml:space="preserve"> of stilbenoids were made</w:t>
      </w:r>
      <w:r w:rsidR="000B5E23" w:rsidRPr="002A6BF2">
        <w:rPr>
          <w:lang w:val="en-US"/>
        </w:rPr>
        <w:t xml:space="preserve"> </w:t>
      </w:r>
      <w:r w:rsidRPr="002A6BF2">
        <w:rPr>
          <w:lang w:val="en-US"/>
        </w:rPr>
        <w:t>from</w:t>
      </w:r>
      <w:r w:rsidR="000B5E23" w:rsidRPr="002A6BF2">
        <w:rPr>
          <w:lang w:val="en-US"/>
        </w:rPr>
        <w:t xml:space="preserve"> 1 mL </w:t>
      </w:r>
      <w:r w:rsidRPr="002A6BF2">
        <w:rPr>
          <w:lang w:val="en-US"/>
        </w:rPr>
        <w:t>culture broth</w:t>
      </w:r>
      <w:r w:rsidR="00A95520" w:rsidRPr="002A6BF2">
        <w:rPr>
          <w:lang w:val="en-US"/>
        </w:rPr>
        <w:t xml:space="preserve"> </w:t>
      </w:r>
      <w:r w:rsidRPr="002A6BF2">
        <w:rPr>
          <w:lang w:val="en-US"/>
        </w:rPr>
        <w:t>mixed with</w:t>
      </w:r>
      <w:r w:rsidR="00FF00F7" w:rsidRPr="002A6BF2">
        <w:rPr>
          <w:lang w:val="en-US"/>
        </w:rPr>
        <w:t xml:space="preserve"> an</w:t>
      </w:r>
      <w:r w:rsidR="000B5E23" w:rsidRPr="002A6BF2">
        <w:rPr>
          <w:lang w:val="en-US"/>
        </w:rPr>
        <w:t xml:space="preserve"> equal amount of ethyl acetate for extraction. The mixture was shaken for at least 15 minutes at 1500 rpm in an </w:t>
      </w:r>
      <w:r w:rsidR="000B5E23" w:rsidRPr="002A6BF2">
        <w:rPr>
          <w:iCs/>
          <w:lang w:val="en-US"/>
        </w:rPr>
        <w:t>IKA VIBRAX VXR basic</w:t>
      </w:r>
      <w:r w:rsidR="000B5E23" w:rsidRPr="002A6BF2">
        <w:rPr>
          <w:lang w:val="en-US"/>
        </w:rPr>
        <w:t xml:space="preserve"> at room temperature. This </w:t>
      </w:r>
      <w:r w:rsidR="00B94B31" w:rsidRPr="002A6BF2">
        <w:rPr>
          <w:lang w:val="en-US"/>
        </w:rPr>
        <w:t>wa</w:t>
      </w:r>
      <w:r w:rsidR="000B5E23" w:rsidRPr="002A6BF2">
        <w:rPr>
          <w:lang w:val="en-US"/>
        </w:rPr>
        <w:t xml:space="preserve">s followed by a </w:t>
      </w:r>
      <w:r w:rsidR="00EB1102" w:rsidRPr="002A6BF2">
        <w:rPr>
          <w:lang w:val="en-US"/>
        </w:rPr>
        <w:t>10</w:t>
      </w:r>
      <w:r w:rsidR="00B94B31" w:rsidRPr="002A6BF2">
        <w:rPr>
          <w:lang w:val="en-US"/>
        </w:rPr>
        <w:t>-</w:t>
      </w:r>
      <w:r w:rsidR="00EB1102" w:rsidRPr="002A6BF2">
        <w:rPr>
          <w:lang w:val="en-US"/>
        </w:rPr>
        <w:t xml:space="preserve">15 </w:t>
      </w:r>
      <w:r w:rsidR="000B5E23" w:rsidRPr="002A6BF2">
        <w:rPr>
          <w:lang w:val="en-US"/>
        </w:rPr>
        <w:t>min</w:t>
      </w:r>
      <w:r w:rsidR="00B94B31" w:rsidRPr="002A6BF2">
        <w:rPr>
          <w:lang w:val="en-US"/>
        </w:rPr>
        <w:t>ute</w:t>
      </w:r>
      <w:r w:rsidR="00EB1102" w:rsidRPr="002A6BF2">
        <w:rPr>
          <w:lang w:val="en-US"/>
        </w:rPr>
        <w:t>s</w:t>
      </w:r>
      <w:r w:rsidR="000B5E23" w:rsidRPr="002A6BF2">
        <w:rPr>
          <w:lang w:val="en-US"/>
        </w:rPr>
        <w:t xml:space="preserve"> centrifugation step in Centrifuge 5425 from Eppendorf AG (Wesseling-Berzdorf/Germany). </w:t>
      </w:r>
      <w:r w:rsidR="00B94B31" w:rsidRPr="002A6BF2">
        <w:rPr>
          <w:lang w:val="en-US"/>
        </w:rPr>
        <w:t>Eight hundred microliter</w:t>
      </w:r>
      <w:r w:rsidR="000B5E23" w:rsidRPr="002A6BF2">
        <w:rPr>
          <w:lang w:val="en-US"/>
        </w:rPr>
        <w:t xml:space="preserve"> of the top layer were transferred into a</w:t>
      </w:r>
      <w:r w:rsidR="00F4165C" w:rsidRPr="002A6BF2">
        <w:rPr>
          <w:lang w:val="en-US"/>
        </w:rPr>
        <w:t xml:space="preserve">n </w:t>
      </w:r>
      <w:r w:rsidR="009E364C" w:rsidRPr="002A6BF2">
        <w:rPr>
          <w:lang w:val="en-US"/>
        </w:rPr>
        <w:t>amber</w:t>
      </w:r>
      <w:r w:rsidR="000B5E23" w:rsidRPr="002A6BF2">
        <w:rPr>
          <w:lang w:val="en-US"/>
        </w:rPr>
        <w:t xml:space="preserve"> glass vial </w:t>
      </w:r>
      <w:r w:rsidR="00F4165C" w:rsidRPr="002A6BF2">
        <w:rPr>
          <w:lang w:val="en-US"/>
        </w:rPr>
        <w:t>for</w:t>
      </w:r>
      <w:r w:rsidR="000B5E23" w:rsidRPr="002A6BF2">
        <w:rPr>
          <w:lang w:val="en-US"/>
        </w:rPr>
        <w:t xml:space="preserve"> evaporat</w:t>
      </w:r>
      <w:r w:rsidR="00F4165C" w:rsidRPr="002A6BF2">
        <w:rPr>
          <w:lang w:val="en-US"/>
        </w:rPr>
        <w:t>ion at room temperature</w:t>
      </w:r>
      <w:r w:rsidR="000B5E23" w:rsidRPr="002A6BF2">
        <w:rPr>
          <w:lang w:val="en-US"/>
        </w:rPr>
        <w:t xml:space="preserve">. After full evaporation, acetonitrile </w:t>
      </w:r>
      <w:r w:rsidR="00B94B31" w:rsidRPr="002A6BF2">
        <w:rPr>
          <w:lang w:val="en-US"/>
        </w:rPr>
        <w:t>wa</w:t>
      </w:r>
      <w:r w:rsidR="000B5E23" w:rsidRPr="002A6BF2">
        <w:rPr>
          <w:lang w:val="en-US"/>
        </w:rPr>
        <w:t xml:space="preserve">s added to reach </w:t>
      </w:r>
      <w:r w:rsidR="00F748E1" w:rsidRPr="002A6BF2">
        <w:rPr>
          <w:lang w:val="en-US"/>
        </w:rPr>
        <w:t xml:space="preserve">a </w:t>
      </w:r>
      <w:r w:rsidR="002973C1" w:rsidRPr="002A6BF2">
        <w:rPr>
          <w:lang w:val="en-US"/>
        </w:rPr>
        <w:t>one-</w:t>
      </w:r>
      <w:r w:rsidR="00F748E1" w:rsidRPr="002A6BF2">
        <w:rPr>
          <w:lang w:val="en-US"/>
        </w:rPr>
        <w:t xml:space="preserve"> to </w:t>
      </w:r>
      <w:r w:rsidR="00B94B31" w:rsidRPr="002A6BF2">
        <w:rPr>
          <w:lang w:val="en-US"/>
        </w:rPr>
        <w:t>eight</w:t>
      </w:r>
      <w:r w:rsidR="000B5E23" w:rsidRPr="002A6BF2">
        <w:rPr>
          <w:lang w:val="en-US"/>
        </w:rPr>
        <w:t xml:space="preserve">-fold concentration of extracted compounds </w:t>
      </w:r>
      <w:r w:rsidR="00B94B31" w:rsidRPr="002A6BF2">
        <w:rPr>
          <w:lang w:val="en-US"/>
        </w:rPr>
        <w:t>being in the</w:t>
      </w:r>
      <w:r w:rsidR="000B5E23" w:rsidRPr="002A6BF2">
        <w:rPr>
          <w:lang w:val="en-US"/>
        </w:rPr>
        <w:t xml:space="preserve"> linear correlation</w:t>
      </w:r>
      <w:r w:rsidR="004B4D83" w:rsidRPr="002A6BF2">
        <w:rPr>
          <w:lang w:val="en-US"/>
        </w:rPr>
        <w:t xml:space="preserve"> of HPLC analysis</w:t>
      </w:r>
      <w:r w:rsidR="000B5E23" w:rsidRPr="002A6BF2">
        <w:rPr>
          <w:lang w:val="en-US"/>
        </w:rPr>
        <w:t>.</w:t>
      </w:r>
      <w:r w:rsidR="00F748E1" w:rsidRPr="002A6BF2">
        <w:rPr>
          <w:lang w:val="en-US"/>
        </w:rPr>
        <w:t xml:space="preserve"> HPLC vials were closed with a solvent resistant PTFE lined cap. Cinnamate was </w:t>
      </w:r>
      <w:r w:rsidR="00392B71" w:rsidRPr="002A6BF2">
        <w:rPr>
          <w:lang w:val="en-US"/>
        </w:rPr>
        <w:t xml:space="preserve">not </w:t>
      </w:r>
      <w:r w:rsidR="00F748E1" w:rsidRPr="002A6BF2">
        <w:rPr>
          <w:lang w:val="en-US"/>
        </w:rPr>
        <w:t xml:space="preserve">quantified from </w:t>
      </w:r>
      <w:r w:rsidR="00392B71" w:rsidRPr="002A6BF2">
        <w:rPr>
          <w:lang w:val="en-US"/>
        </w:rPr>
        <w:t xml:space="preserve">extracts </w:t>
      </w:r>
      <w:r w:rsidR="00392B71" w:rsidRPr="002A6BF2">
        <w:rPr>
          <w:lang w:val="en-US"/>
        </w:rPr>
        <w:lastRenderedPageBreak/>
        <w:t xml:space="preserve">but </w:t>
      </w:r>
      <w:r w:rsidR="00E9329C">
        <w:rPr>
          <w:lang w:val="en-US"/>
        </w:rPr>
        <w:t xml:space="preserve">from </w:t>
      </w:r>
      <w:r w:rsidR="00E9329C" w:rsidRPr="002A6BF2">
        <w:rPr>
          <w:lang w:val="en-US"/>
        </w:rPr>
        <w:t xml:space="preserve">filtered </w:t>
      </w:r>
      <w:r w:rsidR="00392B71" w:rsidRPr="002A6BF2">
        <w:rPr>
          <w:lang w:val="en-US"/>
        </w:rPr>
        <w:t xml:space="preserve">aqueous </w:t>
      </w:r>
      <w:r w:rsidR="00F748E1" w:rsidRPr="002A6BF2">
        <w:rPr>
          <w:lang w:val="en-US"/>
        </w:rPr>
        <w:t>supernatants</w:t>
      </w:r>
      <w:r w:rsidR="00E9329C">
        <w:rPr>
          <w:lang w:val="en-US"/>
        </w:rPr>
        <w:t xml:space="preserve"> of a</w:t>
      </w:r>
      <w:r w:rsidR="00E9329C" w:rsidRPr="00E9329C">
        <w:rPr>
          <w:lang w:val="en-US"/>
        </w:rPr>
        <w:t xml:space="preserve"> </w:t>
      </w:r>
      <w:r w:rsidR="00E9329C" w:rsidRPr="002A6BF2">
        <w:rPr>
          <w:lang w:val="en-US"/>
        </w:rPr>
        <w:t>culture</w:t>
      </w:r>
      <w:r w:rsidR="00F748E1" w:rsidRPr="002A6BF2">
        <w:rPr>
          <w:lang w:val="en-US"/>
        </w:rPr>
        <w:t xml:space="preserve">. </w:t>
      </w:r>
      <w:r w:rsidR="00CF7886" w:rsidRPr="002A6BF2">
        <w:rPr>
          <w:lang w:val="en-US"/>
        </w:rPr>
        <w:t xml:space="preserve">Authentic reference solutions </w:t>
      </w:r>
      <w:r w:rsidR="00F748E1" w:rsidRPr="002A6BF2">
        <w:rPr>
          <w:lang w:val="en-US"/>
        </w:rPr>
        <w:t xml:space="preserve">of pinosylvin </w:t>
      </w:r>
      <w:r w:rsidR="00CF7886" w:rsidRPr="002A6BF2">
        <w:rPr>
          <w:lang w:val="en-US"/>
        </w:rPr>
        <w:t xml:space="preserve">were </w:t>
      </w:r>
      <w:r w:rsidR="00113DBD" w:rsidRPr="002A6BF2">
        <w:rPr>
          <w:lang w:val="en-US"/>
        </w:rPr>
        <w:t>made</w:t>
      </w:r>
      <w:r w:rsidR="00F748E1" w:rsidRPr="002A6BF2">
        <w:rPr>
          <w:lang w:val="en-US"/>
        </w:rPr>
        <w:t xml:space="preserve"> in acetonitrile</w:t>
      </w:r>
      <w:r w:rsidR="00B94B31" w:rsidRPr="002A6BF2">
        <w:rPr>
          <w:lang w:val="en-US"/>
        </w:rPr>
        <w:t>.</w:t>
      </w:r>
      <w:r w:rsidR="00F748E1" w:rsidRPr="002A6BF2">
        <w:rPr>
          <w:lang w:val="en-US"/>
        </w:rPr>
        <w:t xml:space="preserve"> </w:t>
      </w:r>
      <w:r w:rsidR="00B94B31" w:rsidRPr="002A6BF2">
        <w:rPr>
          <w:lang w:val="en-US"/>
        </w:rPr>
        <w:t>Cinnamate</w:t>
      </w:r>
      <w:r w:rsidR="00EB1102" w:rsidRPr="002A6BF2">
        <w:rPr>
          <w:lang w:val="en-US"/>
        </w:rPr>
        <w:t xml:space="preserve"> stock solutions</w:t>
      </w:r>
      <w:r w:rsidR="00B94B31" w:rsidRPr="002A6BF2">
        <w:rPr>
          <w:lang w:val="en-US"/>
        </w:rPr>
        <w:t xml:space="preserve"> </w:t>
      </w:r>
      <w:r w:rsidR="00CF7886" w:rsidRPr="002A6BF2">
        <w:rPr>
          <w:lang w:val="en-US"/>
        </w:rPr>
        <w:t>w</w:t>
      </w:r>
      <w:r w:rsidR="00EB1102" w:rsidRPr="002A6BF2">
        <w:rPr>
          <w:lang w:val="en-US"/>
        </w:rPr>
        <w:t>ere</w:t>
      </w:r>
      <w:r w:rsidR="00CF7886" w:rsidRPr="002A6BF2">
        <w:rPr>
          <w:lang w:val="en-US"/>
        </w:rPr>
        <w:t xml:space="preserve"> </w:t>
      </w:r>
      <w:r w:rsidR="00B94B31" w:rsidRPr="002A6BF2">
        <w:rPr>
          <w:lang w:val="en-US"/>
        </w:rPr>
        <w:t>dis</w:t>
      </w:r>
      <w:r w:rsidR="00CF7886" w:rsidRPr="002A6BF2">
        <w:rPr>
          <w:lang w:val="en-US"/>
        </w:rPr>
        <w:t>solved in</w:t>
      </w:r>
      <w:r w:rsidR="00B94B31" w:rsidRPr="002A6BF2">
        <w:rPr>
          <w:lang w:val="en-US"/>
        </w:rPr>
        <w:t xml:space="preserve"> water titrated with</w:t>
      </w:r>
      <w:r w:rsidR="00CF7886" w:rsidRPr="002A6BF2">
        <w:rPr>
          <w:lang w:val="en-US"/>
        </w:rPr>
        <w:t xml:space="preserve"> NaOH.</w:t>
      </w:r>
      <w:r w:rsidR="00F748E1" w:rsidRPr="002A6BF2">
        <w:rPr>
          <w:lang w:val="en-US"/>
        </w:rPr>
        <w:t xml:space="preserve"> </w:t>
      </w:r>
      <w:r w:rsidR="00476020" w:rsidRPr="002A6BF2">
        <w:rPr>
          <w:lang w:val="en-US"/>
        </w:rPr>
        <w:t>HPLC</w:t>
      </w:r>
      <w:r w:rsidR="00B94B31" w:rsidRPr="002A6BF2">
        <w:rPr>
          <w:lang w:val="en-US"/>
        </w:rPr>
        <w:t xml:space="preserve"> analysis was performed</w:t>
      </w:r>
      <w:r w:rsidR="00476020" w:rsidRPr="002A6BF2">
        <w:rPr>
          <w:lang w:val="en-US"/>
        </w:rPr>
        <w:t xml:space="preserve"> i</w:t>
      </w:r>
      <w:r w:rsidR="00B94B31" w:rsidRPr="002A6BF2">
        <w:rPr>
          <w:lang w:val="en-US"/>
        </w:rPr>
        <w:t>n</w:t>
      </w:r>
      <w:r w:rsidR="002973C1" w:rsidRPr="002A6BF2">
        <w:rPr>
          <w:lang w:val="en-US"/>
        </w:rPr>
        <w:t xml:space="preserve"> a</w:t>
      </w:r>
      <w:r w:rsidR="00476020" w:rsidRPr="002A6BF2">
        <w:rPr>
          <w:lang w:val="en-US"/>
        </w:rPr>
        <w:t xml:space="preserve"> 1260 Infinity II HPLC equipped with a 1260 DAD WR (Agilent Technologies) </w:t>
      </w:r>
      <w:r w:rsidR="00B94B31" w:rsidRPr="002A6BF2">
        <w:rPr>
          <w:lang w:val="en-US"/>
        </w:rPr>
        <w:t>using</w:t>
      </w:r>
      <w:r w:rsidR="00476020" w:rsidRPr="002A6BF2">
        <w:rPr>
          <w:lang w:val="en-US"/>
        </w:rPr>
        <w:t xml:space="preserve"> </w:t>
      </w:r>
      <w:r w:rsidR="00B94B31" w:rsidRPr="002A6BF2">
        <w:rPr>
          <w:lang w:val="en-US"/>
        </w:rPr>
        <w:t>an</w:t>
      </w:r>
      <w:r w:rsidR="00476020" w:rsidRPr="002A6BF2">
        <w:rPr>
          <w:lang w:val="en-US"/>
        </w:rPr>
        <w:t xml:space="preserve"> ISAspher 100</w:t>
      </w:r>
      <w:r w:rsidR="006B2F09" w:rsidRPr="002A6BF2">
        <w:rPr>
          <w:lang w:val="en-US"/>
        </w:rPr>
        <w:t>-</w:t>
      </w:r>
      <w:r w:rsidR="00476020" w:rsidRPr="002A6BF2">
        <w:rPr>
          <w:lang w:val="en-US"/>
        </w:rPr>
        <w:t>5 C18 BDS</w:t>
      </w:r>
      <w:r w:rsidR="00B94B31" w:rsidRPr="002A6BF2">
        <w:rPr>
          <w:lang w:val="en-US"/>
        </w:rPr>
        <w:t xml:space="preserve"> column</w:t>
      </w:r>
      <w:r w:rsidR="00476020" w:rsidRPr="002A6BF2">
        <w:rPr>
          <w:lang w:val="en-US"/>
        </w:rPr>
        <w:t xml:space="preserve"> (</w:t>
      </w:r>
      <w:r w:rsidR="00B94B31" w:rsidRPr="002A6BF2">
        <w:rPr>
          <w:lang w:val="en-US"/>
        </w:rPr>
        <w:t xml:space="preserve">Isera, </w:t>
      </w:r>
      <w:r w:rsidR="00476020" w:rsidRPr="002A6BF2">
        <w:rPr>
          <w:lang w:val="en-US"/>
        </w:rPr>
        <w:t>Düren</w:t>
      </w:r>
      <w:r w:rsidR="00B94B31" w:rsidRPr="002A6BF2">
        <w:rPr>
          <w:lang w:val="en-US"/>
        </w:rPr>
        <w:t xml:space="preserve">, </w:t>
      </w:r>
      <w:r w:rsidR="00476020" w:rsidRPr="002A6BF2">
        <w:rPr>
          <w:lang w:val="en-US"/>
        </w:rPr>
        <w:t>Germany) at</w:t>
      </w:r>
      <w:r w:rsidR="00B94B31" w:rsidRPr="002A6BF2">
        <w:rPr>
          <w:lang w:val="en-US"/>
        </w:rPr>
        <w:t xml:space="preserve"> a temperature of</w:t>
      </w:r>
      <w:r w:rsidR="00476020" w:rsidRPr="002A6BF2">
        <w:rPr>
          <w:lang w:val="en-US"/>
        </w:rPr>
        <w:t xml:space="preserve"> 40°C and a flow of 0.8 mL min</w:t>
      </w:r>
      <w:r w:rsidR="00476020" w:rsidRPr="002A6BF2">
        <w:rPr>
          <w:vertAlign w:val="superscript"/>
          <w:lang w:val="en-US"/>
        </w:rPr>
        <w:t>-1</w:t>
      </w:r>
      <w:r w:rsidR="00476020" w:rsidRPr="002A6BF2">
        <w:rPr>
          <w:lang w:val="en-US"/>
        </w:rPr>
        <w:t xml:space="preserve">. Quantification was done with a DAD detector at 245 nm for cinnamate and 300 nm for pinosylvin. The injection volume was 10 </w:t>
      </w:r>
      <w:r w:rsidR="00B94B31" w:rsidRPr="002A6BF2">
        <w:rPr>
          <w:lang w:val="en-US"/>
        </w:rPr>
        <w:t>µL</w:t>
      </w:r>
      <w:r w:rsidR="00EE33AC" w:rsidRPr="002A6BF2">
        <w:rPr>
          <w:lang w:val="en-US"/>
        </w:rPr>
        <w:t xml:space="preserve"> </w:t>
      </w:r>
      <w:r w:rsidR="00476020" w:rsidRPr="002A6BF2">
        <w:rPr>
          <w:lang w:val="en-US"/>
        </w:rPr>
        <w:t>and the flow</w:t>
      </w:r>
      <w:r w:rsidR="00B94B31" w:rsidRPr="002A6BF2">
        <w:rPr>
          <w:lang w:val="en-US"/>
        </w:rPr>
        <w:t xml:space="preserve"> </w:t>
      </w:r>
      <w:r w:rsidR="00476020" w:rsidRPr="002A6BF2">
        <w:rPr>
          <w:lang w:val="en-US"/>
        </w:rPr>
        <w:t>profile of the solvents for the first 2 minutes was initially 10% acetonitrile</w:t>
      </w:r>
      <w:r w:rsidR="00EE33AC" w:rsidRPr="002A6BF2">
        <w:rPr>
          <w:lang w:val="en-US"/>
        </w:rPr>
        <w:t xml:space="preserve"> (ACN)</w:t>
      </w:r>
      <w:r w:rsidR="00476020" w:rsidRPr="002A6BF2">
        <w:rPr>
          <w:lang w:val="en-US"/>
        </w:rPr>
        <w:t xml:space="preserve"> and 90% H</w:t>
      </w:r>
      <w:r w:rsidR="00476020" w:rsidRPr="002A6BF2">
        <w:rPr>
          <w:vertAlign w:val="subscript"/>
          <w:lang w:val="en-US"/>
        </w:rPr>
        <w:t>2</w:t>
      </w:r>
      <w:r w:rsidR="00476020" w:rsidRPr="002A6BF2">
        <w:rPr>
          <w:lang w:val="en-US"/>
        </w:rPr>
        <w:t>O with 0.1% trifluor</w:t>
      </w:r>
      <w:r w:rsidR="00B47AA1" w:rsidRPr="002A6BF2">
        <w:rPr>
          <w:lang w:val="en-US"/>
        </w:rPr>
        <w:t>o</w:t>
      </w:r>
      <w:r w:rsidR="00476020" w:rsidRPr="002A6BF2">
        <w:rPr>
          <w:lang w:val="en-US"/>
        </w:rPr>
        <w:t>acetic acid (TFA). Afterwards a gradient from 2-6 min f</w:t>
      </w:r>
      <w:r w:rsidR="00565CCC" w:rsidRPr="002A6BF2">
        <w:rPr>
          <w:lang w:val="en-US"/>
        </w:rPr>
        <w:t>rom</w:t>
      </w:r>
      <w:r w:rsidR="00476020" w:rsidRPr="002A6BF2">
        <w:rPr>
          <w:lang w:val="en-US"/>
        </w:rPr>
        <w:t xml:space="preserve"> 10% to 100%</w:t>
      </w:r>
      <w:r w:rsidR="00565CCC" w:rsidRPr="002A6BF2">
        <w:rPr>
          <w:lang w:val="en-US"/>
        </w:rPr>
        <w:t xml:space="preserve"> </w:t>
      </w:r>
      <w:r w:rsidR="00EE33AC" w:rsidRPr="002A6BF2">
        <w:rPr>
          <w:lang w:val="en-US"/>
        </w:rPr>
        <w:t xml:space="preserve">ACN </w:t>
      </w:r>
      <w:r w:rsidR="00476020" w:rsidRPr="002A6BF2">
        <w:rPr>
          <w:lang w:val="en-US"/>
        </w:rPr>
        <w:t xml:space="preserve">was performed. From 6-8 min the conditions were hold at 100% </w:t>
      </w:r>
      <w:r w:rsidR="00EE33AC" w:rsidRPr="002A6BF2">
        <w:rPr>
          <w:lang w:val="en-US"/>
        </w:rPr>
        <w:t>ACN</w:t>
      </w:r>
      <w:r w:rsidR="00476020" w:rsidRPr="002A6BF2">
        <w:rPr>
          <w:lang w:val="en-US"/>
        </w:rPr>
        <w:t xml:space="preserve">. From 8-10 min </w:t>
      </w:r>
      <w:r w:rsidR="00EE33AC" w:rsidRPr="002A6BF2">
        <w:rPr>
          <w:lang w:val="en-US"/>
        </w:rPr>
        <w:t xml:space="preserve">ACN </w:t>
      </w:r>
      <w:r w:rsidR="00476020" w:rsidRPr="002A6BF2">
        <w:rPr>
          <w:lang w:val="en-US"/>
        </w:rPr>
        <w:t>decreased back to 10% and 90%</w:t>
      </w:r>
      <w:r w:rsidR="00565CCC" w:rsidRPr="002A6BF2">
        <w:rPr>
          <w:lang w:val="en-US"/>
        </w:rPr>
        <w:t xml:space="preserve"> </w:t>
      </w:r>
      <w:r w:rsidR="00476020" w:rsidRPr="002A6BF2">
        <w:rPr>
          <w:lang w:val="en-US"/>
        </w:rPr>
        <w:t>H</w:t>
      </w:r>
      <w:r w:rsidR="00476020" w:rsidRPr="002A6BF2">
        <w:rPr>
          <w:vertAlign w:val="subscript"/>
          <w:lang w:val="en-US"/>
        </w:rPr>
        <w:t>2</w:t>
      </w:r>
      <w:r w:rsidR="00476020" w:rsidRPr="002A6BF2">
        <w:rPr>
          <w:lang w:val="en-US"/>
        </w:rPr>
        <w:t>O with 0.1% TFA. Finally</w:t>
      </w:r>
      <w:r w:rsidR="00565CCC" w:rsidRPr="002A6BF2">
        <w:rPr>
          <w:lang w:val="en-US"/>
        </w:rPr>
        <w:t>,</w:t>
      </w:r>
      <w:r w:rsidR="00476020" w:rsidRPr="002A6BF2">
        <w:rPr>
          <w:lang w:val="en-US"/>
        </w:rPr>
        <w:t xml:space="preserve"> from 10-12 min the conditions were hold at </w:t>
      </w:r>
      <w:r w:rsidR="00565CCC" w:rsidRPr="002A6BF2">
        <w:rPr>
          <w:lang w:val="en-US"/>
        </w:rPr>
        <w:t>these conditions</w:t>
      </w:r>
      <w:r w:rsidR="00476020" w:rsidRPr="002A6BF2">
        <w:rPr>
          <w:lang w:val="en-US"/>
        </w:rPr>
        <w:t>. Samples were stored at 14</w:t>
      </w:r>
      <w:r w:rsidR="00565CCC" w:rsidRPr="002A6BF2">
        <w:rPr>
          <w:lang w:val="en-US"/>
        </w:rPr>
        <w:t>°</w:t>
      </w:r>
      <w:r w:rsidR="00476020" w:rsidRPr="002A6BF2">
        <w:rPr>
          <w:lang w:val="en-US"/>
        </w:rPr>
        <w:t>C</w:t>
      </w:r>
      <w:r w:rsidR="004B4D83" w:rsidRPr="002A6BF2">
        <w:rPr>
          <w:lang w:val="en-US"/>
        </w:rPr>
        <w:t xml:space="preserve"> during analysis</w:t>
      </w:r>
      <w:r w:rsidR="00476020" w:rsidRPr="002A6BF2">
        <w:rPr>
          <w:lang w:val="en-US"/>
        </w:rPr>
        <w:t>.</w:t>
      </w:r>
      <w:r w:rsidR="00C07CF8" w:rsidRPr="002A6BF2">
        <w:rPr>
          <w:lang w:val="en-US"/>
        </w:rPr>
        <w:t xml:space="preserve"> Retention time of</w:t>
      </w:r>
      <w:r w:rsidR="00565CCC" w:rsidRPr="002A6BF2">
        <w:rPr>
          <w:lang w:val="en-US"/>
        </w:rPr>
        <w:t xml:space="preserve"> </w:t>
      </w:r>
      <w:r w:rsidR="003D1148" w:rsidRPr="002A6BF2">
        <w:rPr>
          <w:lang w:val="en-US"/>
        </w:rPr>
        <w:t>c</w:t>
      </w:r>
      <w:r w:rsidR="00565CCC" w:rsidRPr="002A6BF2">
        <w:rPr>
          <w:lang w:val="en-US"/>
        </w:rPr>
        <w:t xml:space="preserve">innamate </w:t>
      </w:r>
      <w:r w:rsidR="003D1148" w:rsidRPr="002A6BF2">
        <w:rPr>
          <w:lang w:val="en-US"/>
        </w:rPr>
        <w:t>is at</w:t>
      </w:r>
      <w:r w:rsidR="00565CCC" w:rsidRPr="002A6BF2">
        <w:rPr>
          <w:lang w:val="en-US"/>
        </w:rPr>
        <w:t xml:space="preserve"> 7.75 min</w:t>
      </w:r>
      <w:r w:rsidR="00FB0360" w:rsidRPr="002A6BF2">
        <w:rPr>
          <w:lang w:val="en-US"/>
        </w:rPr>
        <w:t xml:space="preserve"> (245 nm)</w:t>
      </w:r>
      <w:r w:rsidR="00565CCC" w:rsidRPr="002A6BF2">
        <w:rPr>
          <w:lang w:val="en-US"/>
        </w:rPr>
        <w:t xml:space="preserve"> and pinosylvin elutes after 8.01 min</w:t>
      </w:r>
      <w:r w:rsidR="00FB0360" w:rsidRPr="002A6BF2">
        <w:rPr>
          <w:lang w:val="en-US"/>
        </w:rPr>
        <w:t xml:space="preserve"> (300 nm)</w:t>
      </w:r>
      <w:r w:rsidR="00565CCC" w:rsidRPr="002A6BF2">
        <w:rPr>
          <w:lang w:val="en-US"/>
        </w:rPr>
        <w:t xml:space="preserve">. </w:t>
      </w:r>
    </w:p>
    <w:p w14:paraId="7CA8957B" w14:textId="47095EF8" w:rsidR="00F81214" w:rsidRPr="002A6BF2" w:rsidRDefault="009553B2" w:rsidP="00B84A00">
      <w:pPr>
        <w:spacing w:line="276" w:lineRule="auto"/>
        <w:jc w:val="both"/>
        <w:rPr>
          <w:lang w:val="en-US"/>
        </w:rPr>
      </w:pPr>
      <w:r w:rsidRPr="002A6BF2">
        <w:rPr>
          <w:lang w:val="en-US"/>
        </w:rPr>
        <w:t>Flaviolin was measured from culture supernatant</w:t>
      </w:r>
      <w:r w:rsidR="00D84426" w:rsidRPr="002A6BF2">
        <w:rPr>
          <w:lang w:val="en-US"/>
        </w:rPr>
        <w:t xml:space="preserve"> when cell pellets appeared </w:t>
      </w:r>
      <w:r w:rsidR="00CF4D6D" w:rsidRPr="002A6BF2">
        <w:rPr>
          <w:lang w:val="en-US"/>
        </w:rPr>
        <w:t>colorless</w:t>
      </w:r>
      <w:r w:rsidR="00D84426" w:rsidRPr="002A6BF2">
        <w:rPr>
          <w:lang w:val="en-US"/>
        </w:rPr>
        <w:t>, indicating full secretion of flaviolin</w:t>
      </w:r>
      <w:r w:rsidRPr="002A6BF2">
        <w:rPr>
          <w:lang w:val="en-US"/>
        </w:rPr>
        <w:t xml:space="preserve">. </w:t>
      </w:r>
      <w:r w:rsidR="00F81214" w:rsidRPr="002A6BF2">
        <w:rPr>
          <w:lang w:val="en-US"/>
        </w:rPr>
        <w:t>HPLC method for flaviolin used the same equipment and 0.8 mL min</w:t>
      </w:r>
      <w:r w:rsidR="00F81214" w:rsidRPr="002A6BF2">
        <w:rPr>
          <w:vertAlign w:val="superscript"/>
          <w:lang w:val="en-US"/>
        </w:rPr>
        <w:t>-1</w:t>
      </w:r>
      <w:r w:rsidR="00F81214" w:rsidRPr="002A6BF2">
        <w:rPr>
          <w:lang w:val="en-US"/>
        </w:rPr>
        <w:t xml:space="preserve"> flow rate but at 30°C</w:t>
      </w:r>
      <w:r w:rsidRPr="002A6BF2">
        <w:rPr>
          <w:lang w:val="en-US"/>
        </w:rPr>
        <w:t xml:space="preserve"> for the column</w:t>
      </w:r>
      <w:r w:rsidR="00F81214" w:rsidRPr="002A6BF2">
        <w:rPr>
          <w:lang w:val="en-US"/>
        </w:rPr>
        <w:t xml:space="preserve"> and an injection volume of 5 µL. Initial flow was 5% </w:t>
      </w:r>
      <w:r w:rsidRPr="002A6BF2">
        <w:rPr>
          <w:lang w:val="en-US"/>
        </w:rPr>
        <w:t>AC</w:t>
      </w:r>
      <w:r w:rsidR="00F81214" w:rsidRPr="002A6BF2">
        <w:rPr>
          <w:lang w:val="en-US"/>
        </w:rPr>
        <w:t>N</w:t>
      </w:r>
      <w:r w:rsidR="001B1B88" w:rsidRPr="002A6BF2">
        <w:rPr>
          <w:lang w:val="en-US"/>
        </w:rPr>
        <w:t xml:space="preserve"> and 95% water with 0.1% TFA</w:t>
      </w:r>
      <w:r w:rsidR="00F81214" w:rsidRPr="002A6BF2">
        <w:rPr>
          <w:lang w:val="en-US"/>
        </w:rPr>
        <w:t xml:space="preserve"> for 1 min, then from 1-2</w:t>
      </w:r>
      <w:r w:rsidR="009E364C" w:rsidRPr="002A6BF2">
        <w:rPr>
          <w:lang w:val="en-US"/>
        </w:rPr>
        <w:t xml:space="preserve"> min</w:t>
      </w:r>
      <w:r w:rsidR="00F81214" w:rsidRPr="002A6BF2">
        <w:rPr>
          <w:lang w:val="en-US"/>
        </w:rPr>
        <w:t xml:space="preserve"> to 30% ACN, 2-11 min gradient to 60% ACN, 11-13 min up to 95% ACN. ACN 95% was hold for 2 min then from 15-17 min ACN decreased back to 5% and hold</w:t>
      </w:r>
      <w:r w:rsidR="009E364C" w:rsidRPr="002A6BF2">
        <w:rPr>
          <w:lang w:val="en-US"/>
        </w:rPr>
        <w:t xml:space="preserve"> for 2 </w:t>
      </w:r>
      <w:r w:rsidR="00F81214" w:rsidRPr="002A6BF2">
        <w:rPr>
          <w:lang w:val="en-US"/>
        </w:rPr>
        <w:t>min. Detection of flaviolin was done at 310 nm after 8.93 min, after 10.76 another unknown compound eluted</w:t>
      </w:r>
      <w:r w:rsidR="001E7CC3" w:rsidRPr="002A6BF2">
        <w:rPr>
          <w:lang w:val="en-US"/>
        </w:rPr>
        <w:t xml:space="preserve"> in flaviolin supernatants</w:t>
      </w:r>
      <w:r w:rsidR="00F81214" w:rsidRPr="002A6BF2">
        <w:rPr>
          <w:lang w:val="en-US"/>
        </w:rPr>
        <w:t>.</w:t>
      </w:r>
      <w:r w:rsidR="00792266" w:rsidRPr="002A6BF2">
        <w:rPr>
          <w:lang w:val="en-US"/>
        </w:rPr>
        <w:t xml:space="preserve"> Flaviolin was identified by reported UV spectrum from </w:t>
      </w:r>
      <w:r w:rsidR="00792266" w:rsidRPr="002A6BF2">
        <w:rPr>
          <w:lang w:val="en-US"/>
        </w:rPr>
        <w:fldChar w:fldCharType="begin" w:fldLock="1"/>
      </w:r>
      <w:r w:rsidR="00530EE9" w:rsidRPr="002A6BF2">
        <w:rPr>
          <w:lang w:val="en-US"/>
        </w:rPr>
        <w:instrText>ADDIN CSL_CITATION {"citationItems":[{"id":"ITEM-1","itemData":{"DOI":"10.1007/s00203-005-0059-3","ISSN":"03028933","abstract":"Type III polyketide synthases (PKS) were regarded as typical for plant secondary metabolism before they were found in microorganisms recently. Due to microbial genome sequencing efforts, more and more type III PKS are found, most of which of unknown function. In this manuscript, we report a comprehensive analysis of the phylogeny of bacterial type III PKS and report the expression of a type III PKS from the myxobacterium Sorangium cellulosum in pseudomonads. There is no precedent of a secondary metabolite that might be biosynthetically correlated to a type III PKS from any myxobacterium. Additionally, an inactivation mutant of the S. cellulosum gene shows no physiological difference compared to the wild-type strain which is why these type III PKS are assumed to be \"silent\" under the laboratory conditions administered. One type III PKS (SoceCHS1) was expressed in different Pseudomonas sp. after the heterologous expression in Escherichia coli failed. Cultures of recombinant Pseudomonas sp. harbouring SoceCHS1 turned red upon incubation and the diffusible pigment formed was identified as 2,5,7-trihydroxy-1,4-naphthoquinone, the autooxidation product of 1,3,6,8-tetrahydroxynaphthalene. The successful heterologous production of a secondary metabolite using a gene not expressed under administered laboratory conditions provides evidence for the usefulness of our approach to activate such secondary metabolite genes for the production of novel metabolites. © Springer-Verlag 2006.","author":[{"dropping-particle":"","family":"Gross","given":"Frank","non-dropping-particle":"","parse-names":false,"suffix":""},{"dropping-particle":"","family":"Luniak","given":"Nora","non-dropping-particle":"","parse-names":false,"suffix":""},{"dropping-particle":"","family":"Perlova","given":"Olena","non-dropping-particle":"","parse-names":false,"suffix":""},{"dropping-particle":"","family":"Gaitatzis","given":"Nikolaos","non-dropping-particle":"","parse-names":false,"suffix":""},{"dropping-particle":"","family":"Jenke-Kodama","given":"Holger","non-dropping-particle":"","parse-names":false,"suffix":""},{"dropping-particle":"","family":"Gerth","given":"Klaus","non-dropping-particle":"","parse-names":false,"suffix":""},{"dropping-particle":"","family":"Gottschalk","given":"Daniela","non-dropping-particle":"","parse-names":false,"suffix":""},{"dropping-particle":"","family":"Dittmann","given":"Elke","non-dropping-particle":"","parse-names":false,"suffix":""},{"dropping-particle":"","family":"Müller","given":"Rolf","non-dropping-particle":"","parse-names":false,"suffix":""}],"container-title":"Archives of Microbiology","id":"ITEM-1","issue":"1","issued":{"date-parts":[["2006"]]},"note":"Test of different Pseudomonas strains for SoCeCHS1 revealed differences of the strains in producing flaviolin.\n\nUV spectrum of flaviolin in Fig 3","page":"28-38","title":"Bacterial type III polyketide synthases: Phylogenetic analysis and potential for the production of novel secondary metabolites by heterologous expression in pseudomonads","type":"article-journal","volume":"185"},"uris":["http://www.mendeley.com/documents/?uuid=86bf55d7-1595-486a-b74b-f104d9076f91"]}],"mendeley":{"formattedCitation":"(Gross et al., 2006)","manualFormatting":"Gross et al. (2006)","plainTextFormattedCitation":"(Gross et al., 2006)","previouslyFormattedCitation":"(Gross et al., 2006)"},"properties":{"noteIndex":0},"schema":"https://github.com/citation-style-language/schema/raw/master/csl-citation.json"}</w:instrText>
      </w:r>
      <w:r w:rsidR="00792266" w:rsidRPr="002A6BF2">
        <w:rPr>
          <w:lang w:val="en-US"/>
        </w:rPr>
        <w:fldChar w:fldCharType="separate"/>
      </w:r>
      <w:r w:rsidR="00B255F3" w:rsidRPr="002A6BF2">
        <w:rPr>
          <w:noProof/>
          <w:lang w:val="en-US"/>
        </w:rPr>
        <w:t xml:space="preserve">Gross et al. </w:t>
      </w:r>
      <w:r w:rsidR="00530EE9" w:rsidRPr="002A6BF2">
        <w:rPr>
          <w:noProof/>
          <w:lang w:val="en-US"/>
        </w:rPr>
        <w:t>(</w:t>
      </w:r>
      <w:r w:rsidR="00B255F3" w:rsidRPr="002A6BF2">
        <w:rPr>
          <w:noProof/>
          <w:lang w:val="en-US"/>
        </w:rPr>
        <w:t>2006)</w:t>
      </w:r>
      <w:r w:rsidR="00792266" w:rsidRPr="002A6BF2">
        <w:rPr>
          <w:lang w:val="en-US"/>
        </w:rPr>
        <w:fldChar w:fldCharType="end"/>
      </w:r>
      <w:r w:rsidR="00792266" w:rsidRPr="002A6BF2">
        <w:rPr>
          <w:lang w:val="en-US"/>
        </w:rPr>
        <w:t xml:space="preserve"> (</w:t>
      </w:r>
      <w:r w:rsidR="00B26117" w:rsidRPr="002A6BF2">
        <w:rPr>
          <w:lang w:val="en-US"/>
        </w:rPr>
        <w:t xml:space="preserve">Supplementary </w:t>
      </w:r>
      <w:r w:rsidR="00325010" w:rsidRPr="002A6BF2">
        <w:rPr>
          <w:lang w:val="en-US"/>
        </w:rPr>
        <w:t>Fig.</w:t>
      </w:r>
      <w:r w:rsidR="00F53627" w:rsidRPr="002A6BF2">
        <w:rPr>
          <w:lang w:val="en-US"/>
        </w:rPr>
        <w:t xml:space="preserve"> </w:t>
      </w:r>
      <w:r w:rsidR="00965039" w:rsidRPr="002A6BF2">
        <w:rPr>
          <w:lang w:val="en-US"/>
        </w:rPr>
        <w:t xml:space="preserve">S6 </w:t>
      </w:r>
      <w:r w:rsidR="00F53627" w:rsidRPr="002A6BF2">
        <w:rPr>
          <w:lang w:val="en-US"/>
        </w:rPr>
        <w:t xml:space="preserve">and </w:t>
      </w:r>
      <w:r w:rsidR="00325010" w:rsidRPr="002A6BF2">
        <w:rPr>
          <w:lang w:val="en-US"/>
        </w:rPr>
        <w:t>Fig.</w:t>
      </w:r>
      <w:r w:rsidR="005A6F06" w:rsidRPr="002A6BF2">
        <w:rPr>
          <w:lang w:val="en-US"/>
        </w:rPr>
        <w:t xml:space="preserve"> </w:t>
      </w:r>
      <w:r w:rsidR="00965039" w:rsidRPr="002A6BF2">
        <w:rPr>
          <w:lang w:val="en-US"/>
        </w:rPr>
        <w:t>S7</w:t>
      </w:r>
      <w:r w:rsidR="00792266" w:rsidRPr="002A6BF2">
        <w:rPr>
          <w:lang w:val="en-US"/>
        </w:rPr>
        <w:t>).</w:t>
      </w:r>
      <w:r w:rsidR="009E364C" w:rsidRPr="002A6BF2">
        <w:rPr>
          <w:lang w:val="en-US"/>
        </w:rPr>
        <w:t xml:space="preserve"> </w:t>
      </w:r>
      <w:r w:rsidR="00F4165C" w:rsidRPr="002A6BF2">
        <w:rPr>
          <w:lang w:val="en-US"/>
        </w:rPr>
        <w:t xml:space="preserve">Using the </w:t>
      </w:r>
      <w:r w:rsidR="00F4165C" w:rsidRPr="002A6BF2">
        <w:rPr>
          <w:lang w:val="en-US"/>
        </w:rPr>
        <w:lastRenderedPageBreak/>
        <w:t>same acquisition method</w:t>
      </w:r>
      <w:r w:rsidR="00FB0360" w:rsidRPr="002A6BF2">
        <w:rPr>
          <w:lang w:val="en-US"/>
        </w:rPr>
        <w:t>,</w:t>
      </w:r>
      <w:r w:rsidR="00F4165C" w:rsidRPr="002A6BF2">
        <w:rPr>
          <w:lang w:val="en-US"/>
        </w:rPr>
        <w:t xml:space="preserve"> </w:t>
      </w:r>
      <w:r w:rsidR="00F4165C" w:rsidRPr="002A6BF2">
        <w:rPr>
          <w:i/>
          <w:iCs/>
          <w:lang w:val="en-US"/>
        </w:rPr>
        <w:t>p</w:t>
      </w:r>
      <w:r w:rsidR="00F4165C" w:rsidRPr="002A6BF2">
        <w:rPr>
          <w:lang w:val="en-US"/>
        </w:rPr>
        <w:t xml:space="preserve">-coumarate was detected at </w:t>
      </w:r>
      <w:r w:rsidR="009E364C" w:rsidRPr="002A6BF2">
        <w:rPr>
          <w:lang w:val="en-US"/>
        </w:rPr>
        <w:t>280</w:t>
      </w:r>
      <w:r w:rsidR="00F4165C" w:rsidRPr="002A6BF2">
        <w:rPr>
          <w:lang w:val="en-US"/>
        </w:rPr>
        <w:t xml:space="preserve"> nm after </w:t>
      </w:r>
      <w:r w:rsidR="009E364C" w:rsidRPr="002A6BF2">
        <w:rPr>
          <w:lang w:val="en-US"/>
        </w:rPr>
        <w:t>7.13</w:t>
      </w:r>
      <w:r w:rsidR="00F4165C" w:rsidRPr="002A6BF2">
        <w:rPr>
          <w:lang w:val="en-US"/>
        </w:rPr>
        <w:t xml:space="preserve"> min</w:t>
      </w:r>
      <w:r w:rsidR="00FB0360" w:rsidRPr="002A6BF2">
        <w:rPr>
          <w:lang w:val="en-US"/>
        </w:rPr>
        <w:t xml:space="preserve">, </w:t>
      </w:r>
      <w:r w:rsidR="00F4165C" w:rsidRPr="002A6BF2">
        <w:rPr>
          <w:lang w:val="en-US"/>
        </w:rPr>
        <w:t xml:space="preserve">resveratrol after </w:t>
      </w:r>
      <w:r w:rsidR="009E364C" w:rsidRPr="002A6BF2">
        <w:rPr>
          <w:lang w:val="en-US"/>
        </w:rPr>
        <w:t>9.08</w:t>
      </w:r>
      <w:r w:rsidR="00EB2F68" w:rsidRPr="002A6BF2">
        <w:rPr>
          <w:lang w:val="en-US"/>
        </w:rPr>
        <w:t xml:space="preserve"> </w:t>
      </w:r>
      <w:r w:rsidR="00F4165C" w:rsidRPr="002A6BF2">
        <w:rPr>
          <w:lang w:val="en-US"/>
        </w:rPr>
        <w:t xml:space="preserve">min at </w:t>
      </w:r>
      <w:r w:rsidR="009E364C" w:rsidRPr="002A6BF2">
        <w:rPr>
          <w:lang w:val="en-US"/>
        </w:rPr>
        <w:t>310</w:t>
      </w:r>
      <w:r w:rsidR="00F4165C" w:rsidRPr="002A6BF2">
        <w:rPr>
          <w:lang w:val="en-US"/>
        </w:rPr>
        <w:t xml:space="preserve"> nm</w:t>
      </w:r>
      <w:r w:rsidR="00FB0360" w:rsidRPr="002A6BF2">
        <w:rPr>
          <w:lang w:val="en-US"/>
        </w:rPr>
        <w:t xml:space="preserve">, cinnamate at 245 nm after </w:t>
      </w:r>
      <w:r w:rsidR="009E364C" w:rsidRPr="002A6BF2">
        <w:rPr>
          <w:lang w:val="en-US"/>
        </w:rPr>
        <w:t>11.54</w:t>
      </w:r>
      <w:r w:rsidR="00FB0360" w:rsidRPr="002A6BF2">
        <w:rPr>
          <w:lang w:val="en-US"/>
        </w:rPr>
        <w:t xml:space="preserve"> min and pinosylvin after </w:t>
      </w:r>
      <w:r w:rsidR="009E364C" w:rsidRPr="002A6BF2">
        <w:rPr>
          <w:lang w:val="en-US"/>
        </w:rPr>
        <w:t>14.35</w:t>
      </w:r>
      <w:r w:rsidR="00FB0360" w:rsidRPr="002A6BF2">
        <w:rPr>
          <w:lang w:val="en-US"/>
        </w:rPr>
        <w:t xml:space="preserve"> min at 300 nm</w:t>
      </w:r>
      <w:r w:rsidR="00EB2F68" w:rsidRPr="002A6BF2">
        <w:rPr>
          <w:lang w:val="en-US"/>
        </w:rPr>
        <w:t>.</w:t>
      </w:r>
      <w:r w:rsidR="00D7184B" w:rsidRPr="002A6BF2">
        <w:rPr>
          <w:lang w:val="en-US"/>
        </w:rPr>
        <w:t xml:space="preserve"> </w:t>
      </w:r>
    </w:p>
    <w:p w14:paraId="35FB5A0F" w14:textId="2787DCB7" w:rsidR="00CB0CDF" w:rsidRPr="002A6BF2" w:rsidRDefault="00A27412" w:rsidP="00B84A00">
      <w:pPr>
        <w:spacing w:line="276" w:lineRule="auto"/>
        <w:jc w:val="both"/>
        <w:rPr>
          <w:lang w:val="en-US"/>
        </w:rPr>
      </w:pPr>
      <w:r w:rsidRPr="002A6BF2">
        <w:rPr>
          <w:lang w:val="en-US"/>
        </w:rPr>
        <w:t>Significance analysis was performed by determination of the standard deviation or standard error of the mean when indicated, followed by an ordinary one-way</w:t>
      </w:r>
      <w:r w:rsidR="00061B97" w:rsidRPr="002A6BF2">
        <w:rPr>
          <w:lang w:val="en-US"/>
        </w:rPr>
        <w:t xml:space="preserve"> </w:t>
      </w:r>
      <w:r w:rsidR="00EE33AC" w:rsidRPr="002A6BF2">
        <w:rPr>
          <w:lang w:val="en-US"/>
        </w:rPr>
        <w:t xml:space="preserve">or </w:t>
      </w:r>
      <w:r w:rsidR="00061B97" w:rsidRPr="002A6BF2">
        <w:rPr>
          <w:lang w:val="en-US"/>
        </w:rPr>
        <w:t>two-way</w:t>
      </w:r>
      <w:r w:rsidRPr="002A6BF2">
        <w:rPr>
          <w:lang w:val="en-US"/>
        </w:rPr>
        <w:t xml:space="preserve"> ANOVA using the software GraphPad Prism 9 with assumed Gaussian distribution, minimum p&lt;0.05. </w:t>
      </w:r>
    </w:p>
    <w:p w14:paraId="4D87B90D" w14:textId="77777777" w:rsidR="00B07BBA" w:rsidRPr="002A6BF2" w:rsidRDefault="00B07BBA" w:rsidP="00B84A00">
      <w:pPr>
        <w:spacing w:line="276" w:lineRule="auto"/>
        <w:jc w:val="both"/>
        <w:rPr>
          <w:lang w:val="en-US"/>
        </w:rPr>
      </w:pPr>
      <w:r w:rsidRPr="002A6BF2">
        <w:rPr>
          <w:lang w:val="en-US"/>
        </w:rPr>
        <w:br w:type="page"/>
      </w:r>
    </w:p>
    <w:p w14:paraId="3C6E3D4B" w14:textId="1A2C27B4" w:rsidR="00D938AC" w:rsidRPr="002A6BF2" w:rsidRDefault="00D938AC" w:rsidP="00B84A00">
      <w:pPr>
        <w:pStyle w:val="berschrift1"/>
        <w:numPr>
          <w:ilvl w:val="0"/>
          <w:numId w:val="11"/>
        </w:numPr>
        <w:spacing w:line="276" w:lineRule="auto"/>
        <w:rPr>
          <w:lang w:val="en-US"/>
        </w:rPr>
      </w:pPr>
      <w:r w:rsidRPr="002A6BF2">
        <w:rPr>
          <w:lang w:val="en-US"/>
        </w:rPr>
        <w:lastRenderedPageBreak/>
        <w:t>Results</w:t>
      </w:r>
      <w:r w:rsidR="00D75D83" w:rsidRPr="002A6BF2">
        <w:rPr>
          <w:lang w:val="en-US"/>
        </w:rPr>
        <w:t xml:space="preserve"> and Discussion</w:t>
      </w:r>
      <w:r w:rsidRPr="002A6BF2">
        <w:rPr>
          <w:lang w:val="en-US"/>
        </w:rPr>
        <w:t>:</w:t>
      </w:r>
    </w:p>
    <w:p w14:paraId="6C324A46" w14:textId="4612D653" w:rsidR="00B07BBA" w:rsidRPr="002A6BF2" w:rsidRDefault="00B63437" w:rsidP="00B84A00">
      <w:pPr>
        <w:pStyle w:val="berschrift2"/>
        <w:numPr>
          <w:ilvl w:val="1"/>
          <w:numId w:val="11"/>
        </w:numPr>
        <w:spacing w:line="276" w:lineRule="auto"/>
        <w:rPr>
          <w:lang w:val="en-US"/>
        </w:rPr>
      </w:pPr>
      <w:r w:rsidRPr="002A6BF2">
        <w:rPr>
          <w:i/>
          <w:lang w:val="en-US"/>
        </w:rPr>
        <w:t>Pseudomonas</w:t>
      </w:r>
      <w:r w:rsidRPr="002A6BF2">
        <w:rPr>
          <w:lang w:val="en-US"/>
        </w:rPr>
        <w:t xml:space="preserve"> as tolerant host </w:t>
      </w:r>
      <w:r w:rsidR="00445A9D" w:rsidRPr="002A6BF2">
        <w:rPr>
          <w:lang w:val="en-US"/>
        </w:rPr>
        <w:t>towards</w:t>
      </w:r>
      <w:r w:rsidR="00214986" w:rsidRPr="002A6BF2">
        <w:rPr>
          <w:lang w:val="en-US"/>
        </w:rPr>
        <w:t xml:space="preserve"> </w:t>
      </w:r>
      <w:r w:rsidR="0043369B" w:rsidRPr="002A6BF2">
        <w:rPr>
          <w:lang w:val="en-US"/>
        </w:rPr>
        <w:t xml:space="preserve">the </w:t>
      </w:r>
      <w:r w:rsidR="00214986" w:rsidRPr="002A6BF2">
        <w:rPr>
          <w:lang w:val="en-US"/>
        </w:rPr>
        <w:t>stilben</w:t>
      </w:r>
      <w:r w:rsidR="001B34C1" w:rsidRPr="002A6BF2">
        <w:rPr>
          <w:lang w:val="en-US"/>
        </w:rPr>
        <w:t>oid</w:t>
      </w:r>
      <w:r w:rsidRPr="002A6BF2">
        <w:rPr>
          <w:lang w:val="en-US"/>
        </w:rPr>
        <w:t xml:space="preserve"> pinosylvin</w:t>
      </w:r>
    </w:p>
    <w:p w14:paraId="31C2E4FC" w14:textId="1C4BCF1F" w:rsidR="00B569C4" w:rsidRPr="002A6BF2" w:rsidRDefault="00D452A2" w:rsidP="00B84A00">
      <w:pPr>
        <w:spacing w:line="276" w:lineRule="auto"/>
        <w:jc w:val="both"/>
        <w:rPr>
          <w:lang w:val="en-US"/>
        </w:rPr>
      </w:pPr>
      <w:r w:rsidRPr="002A6BF2">
        <w:rPr>
          <w:lang w:val="en-US"/>
        </w:rPr>
        <w:t>Beside</w:t>
      </w:r>
      <w:r w:rsidR="006C7B45" w:rsidRPr="002A6BF2">
        <w:rPr>
          <w:lang w:val="en-US"/>
        </w:rPr>
        <w:t>s</w:t>
      </w:r>
      <w:r w:rsidRPr="002A6BF2">
        <w:rPr>
          <w:lang w:val="en-US"/>
        </w:rPr>
        <w:t xml:space="preserve"> specific cytotoxic properties of </w:t>
      </w:r>
      <w:r w:rsidR="00C70B4B" w:rsidRPr="002A6BF2">
        <w:rPr>
          <w:lang w:val="en-US"/>
        </w:rPr>
        <w:t>stilbenoids</w:t>
      </w:r>
      <w:r w:rsidR="00C7350F" w:rsidRPr="002A6BF2">
        <w:rPr>
          <w:lang w:val="en-US"/>
        </w:rPr>
        <w:t>,</w:t>
      </w:r>
      <w:r w:rsidRPr="002A6BF2">
        <w:rPr>
          <w:lang w:val="en-US"/>
        </w:rPr>
        <w:t xml:space="preserve"> their physical properties also likely </w:t>
      </w:r>
      <w:r w:rsidR="00881F93" w:rsidRPr="002A6BF2">
        <w:rPr>
          <w:lang w:val="en-US"/>
        </w:rPr>
        <w:t xml:space="preserve">pose </w:t>
      </w:r>
      <w:r w:rsidRPr="002A6BF2">
        <w:rPr>
          <w:lang w:val="en-US"/>
        </w:rPr>
        <w:t>a general stress on the cell due to their hydrophobicity</w:t>
      </w:r>
      <w:r w:rsidR="001462FF" w:rsidRPr="002A6BF2">
        <w:rPr>
          <w:lang w:val="en-US"/>
        </w:rPr>
        <w:t xml:space="preserve"> that can be described as the logarithmic distribution of a compound in an </w:t>
      </w:r>
      <w:r w:rsidR="001462FF" w:rsidRPr="002A6BF2">
        <w:rPr>
          <w:i/>
          <w:lang w:val="en-US"/>
        </w:rPr>
        <w:t>n</w:t>
      </w:r>
      <w:r w:rsidR="001462FF" w:rsidRPr="002A6BF2">
        <w:rPr>
          <w:lang w:val="en-US"/>
        </w:rPr>
        <w:t>-octanol-water two-phase system (log P</w:t>
      </w:r>
      <w:r w:rsidR="001462FF" w:rsidRPr="002A6BF2">
        <w:rPr>
          <w:vertAlign w:val="subscript"/>
          <w:lang w:val="en-US"/>
        </w:rPr>
        <w:t>O/W</w:t>
      </w:r>
      <w:r w:rsidR="001462FF" w:rsidRPr="002A6BF2">
        <w:rPr>
          <w:lang w:val="en-US"/>
        </w:rPr>
        <w:t>)</w:t>
      </w:r>
      <w:r w:rsidRPr="002A6BF2">
        <w:rPr>
          <w:lang w:val="en-US"/>
        </w:rPr>
        <w:t xml:space="preserve">. </w:t>
      </w:r>
      <w:r w:rsidR="00954956" w:rsidRPr="002A6BF2">
        <w:rPr>
          <w:lang w:val="en-US"/>
        </w:rPr>
        <w:t xml:space="preserve">In this work, </w:t>
      </w:r>
      <w:r w:rsidR="001462FF" w:rsidRPr="002A6BF2">
        <w:rPr>
          <w:lang w:val="en-US"/>
        </w:rPr>
        <w:t xml:space="preserve">the </w:t>
      </w:r>
      <w:r w:rsidR="00E23EAF" w:rsidRPr="002A6BF2">
        <w:rPr>
          <w:lang w:val="en-US"/>
        </w:rPr>
        <w:t>log</w:t>
      </w:r>
      <w:r w:rsidR="001462FF" w:rsidRPr="002A6BF2">
        <w:rPr>
          <w:lang w:val="en-US"/>
        </w:rPr>
        <w:t xml:space="preserve"> </w:t>
      </w:r>
      <w:r w:rsidR="00E23EAF" w:rsidRPr="002A6BF2">
        <w:rPr>
          <w:lang w:val="en-US"/>
        </w:rPr>
        <w:t>P</w:t>
      </w:r>
      <w:r w:rsidR="00E23EAF" w:rsidRPr="002A6BF2">
        <w:rPr>
          <w:vertAlign w:val="subscript"/>
          <w:lang w:val="en-US"/>
        </w:rPr>
        <w:t>O</w:t>
      </w:r>
      <w:r w:rsidR="00095B7A" w:rsidRPr="002A6BF2">
        <w:rPr>
          <w:vertAlign w:val="subscript"/>
          <w:lang w:val="en-US"/>
        </w:rPr>
        <w:t>/W</w:t>
      </w:r>
      <w:r w:rsidR="001462FF" w:rsidRPr="002A6BF2">
        <w:rPr>
          <w:lang w:val="en-US"/>
        </w:rPr>
        <w:t xml:space="preserve"> of pinosylvin</w:t>
      </w:r>
      <w:r w:rsidRPr="002A6BF2">
        <w:rPr>
          <w:lang w:val="en-US"/>
        </w:rPr>
        <w:t xml:space="preserve"> was determined to be</w:t>
      </w:r>
      <w:r w:rsidR="00095B7A" w:rsidRPr="002A6BF2">
        <w:rPr>
          <w:lang w:val="en-US"/>
        </w:rPr>
        <w:t xml:space="preserve"> </w:t>
      </w:r>
      <w:r w:rsidR="005450B1" w:rsidRPr="002A6BF2">
        <w:rPr>
          <w:lang w:val="en-US"/>
        </w:rPr>
        <w:t xml:space="preserve">3.65 </w:t>
      </w:r>
      <w:r w:rsidR="005450B1" w:rsidRPr="002A6BF2">
        <w:rPr>
          <w:rFonts w:cstheme="minorHAnsi"/>
          <w:lang w:val="en-US"/>
        </w:rPr>
        <w:t>±</w:t>
      </w:r>
      <w:r w:rsidR="005450B1" w:rsidRPr="002A6BF2">
        <w:rPr>
          <w:lang w:val="en-US"/>
        </w:rPr>
        <w:t xml:space="preserve"> 0.19 </w:t>
      </w:r>
      <w:r w:rsidRPr="002A6BF2">
        <w:rPr>
          <w:lang w:val="en-US"/>
        </w:rPr>
        <w:t>(</w:t>
      </w:r>
      <w:r w:rsidR="00334A4E" w:rsidRPr="002A6BF2">
        <w:rPr>
          <w:lang w:val="en-US"/>
        </w:rPr>
        <w:t>initial concentration of 35 mg L</w:t>
      </w:r>
      <w:r w:rsidR="00334A4E" w:rsidRPr="002A6BF2">
        <w:rPr>
          <w:vertAlign w:val="superscript"/>
          <w:lang w:val="en-US"/>
        </w:rPr>
        <w:t>-1</w:t>
      </w:r>
      <w:r w:rsidR="00334A4E" w:rsidRPr="002A6BF2">
        <w:rPr>
          <w:lang w:val="en-US"/>
        </w:rPr>
        <w:t>, pH=6.</w:t>
      </w:r>
      <w:r w:rsidR="00FF6C38" w:rsidRPr="002A6BF2">
        <w:rPr>
          <w:lang w:val="en-US"/>
        </w:rPr>
        <w:t>2</w:t>
      </w:r>
      <w:r w:rsidR="00095B7A" w:rsidRPr="002A6BF2">
        <w:rPr>
          <w:lang w:val="en-US"/>
        </w:rPr>
        <w:t>)</w:t>
      </w:r>
      <w:r w:rsidR="008D563E" w:rsidRPr="002A6BF2">
        <w:rPr>
          <w:lang w:val="en-US"/>
        </w:rPr>
        <w:t xml:space="preserve">. </w:t>
      </w:r>
      <w:r w:rsidR="00FF6C38" w:rsidRPr="002A6BF2">
        <w:rPr>
          <w:lang w:val="en-US"/>
        </w:rPr>
        <w:t xml:space="preserve">The </w:t>
      </w:r>
      <w:r w:rsidRPr="002A6BF2">
        <w:rPr>
          <w:lang w:val="en-US"/>
        </w:rPr>
        <w:t>log</w:t>
      </w:r>
      <w:r w:rsidR="001462FF" w:rsidRPr="002A6BF2">
        <w:rPr>
          <w:lang w:val="en-US"/>
        </w:rPr>
        <w:t xml:space="preserve"> </w:t>
      </w:r>
      <w:r w:rsidRPr="002A6BF2">
        <w:rPr>
          <w:lang w:val="en-US"/>
        </w:rPr>
        <w:t>P</w:t>
      </w:r>
      <w:r w:rsidRPr="002A6BF2">
        <w:rPr>
          <w:vertAlign w:val="subscript"/>
          <w:lang w:val="en-US"/>
        </w:rPr>
        <w:t xml:space="preserve">O/W </w:t>
      </w:r>
      <w:r w:rsidR="00FF6C38" w:rsidRPr="002A6BF2">
        <w:rPr>
          <w:lang w:val="en-US"/>
        </w:rPr>
        <w:t xml:space="preserve">of a hydrophobic chemical </w:t>
      </w:r>
      <w:r w:rsidRPr="002A6BF2">
        <w:rPr>
          <w:lang w:val="en-US"/>
        </w:rPr>
        <w:t xml:space="preserve">correlates linearly with </w:t>
      </w:r>
      <w:r w:rsidR="00FF6C38" w:rsidRPr="002A6BF2">
        <w:rPr>
          <w:lang w:val="en-US"/>
        </w:rPr>
        <w:t xml:space="preserve">its </w:t>
      </w:r>
      <w:r w:rsidRPr="002A6BF2">
        <w:rPr>
          <w:lang w:val="en-US"/>
        </w:rPr>
        <w:t xml:space="preserve">partitioning between bacterial membranes and an aqueous buffer </w:t>
      </w:r>
      <w:r w:rsidRPr="002A6BF2">
        <w:rPr>
          <w:lang w:val="en-US"/>
        </w:rPr>
        <w:fldChar w:fldCharType="begin" w:fldLock="1"/>
      </w:r>
      <w:r w:rsidR="00D40894" w:rsidRPr="002A6BF2">
        <w:rPr>
          <w:lang w:val="en-US"/>
        </w:rPr>
        <w:instrText>ADDIN CSL_CITATION {"citationItems":[{"id":"ITEM-1","itemData":{"ISSN":"00219258","PMID":"8132524","abstract":"Many cyclic hydrocarbons, e.g. aromatics, cycloalkanes, and terpenes, are toxic to microorganisms. The primary site of the toxic action is probably the cytoplasmic membrane, but the mechanism of the toxicity is still poorly understood. The effects of cyclic hydrocarbons were studied in liposomes prepared from Escherichia coli phospholipids. The membrane-buffer partition coefficients of the cyclic hydrocarbons revealed that these lipophilic compounds preferentially reside in the membrane. The partition coefficients closely correlated with the partition coefficients of these compounds in a standard octanol-water system. The accumulation of hydrocarbon molecules resulted in swelling of the membrane bilayer, as assessed by the release of fluorescence self-quenching of fluorescent fatty acid and phospholipid analogs. Parallel to the expansion of the membrane, an increase in membrane fluidity was observed. These effects on the integrity of the membrane caused an increased passive flux of protons and carboxyfluorescein. In cytochrome c oxidase containing proteoliposomes, both components of the proton motive force, the pH gradient and the electrical potential, were dissipated with increasing concentrations of cyclic hydrocarbons. The dissipating effect was primarily the result of an increased permeability of the membrane for protons (ions). At higher concentrations, cytochrome c oxidase was also inactivated. The effective concentrations of the different cyclic hydrocarbons correlated with their partition coefficients between the membrane and aqueous phase. The impairment of microbial activity by the cyclic hydrocarbons most likely results from hydrophobic interaction with the membrane, which affects the functioning of the membrane and membrane-embedded proteins.","author":[{"dropping-particle":"","family":"Sikkema","given":"Jan","non-dropping-particle":"","parse-names":false,"suffix":""},{"dropping-particle":"","family":"Bont","given":"Jan A.M.","non-dropping-particle":"De","parse-names":false,"suffix":""},{"dropping-particle":"","family":"Poolman","given":"Bert","non-dropping-particle":"","parse-names":false,"suffix":""}],"container-title":"Journal of Biological Chemistry","id":"ITEM-1","issue":"11","issued":{"date-parts":[["1994"]]},"page":"8022-8028","title":"Interactions of cyclic hydrocarbons with biological membranes","type":"article-journal","volume":"269"},"uris":["http://www.mendeley.com/documents/?uuid=49d7e3be-397b-4d9d-b105-4862a1536299"]}],"mendeley":{"formattedCitation":"(Sikkema et al., 1994)","plainTextFormattedCitation":"(Sikkema et al., 1994)","previouslyFormattedCitation":"(Sikkema et al., 1994)"},"properties":{"noteIndex":0},"schema":"https://github.com/citation-style-language/schema/raw/master/csl-citation.json"}</w:instrText>
      </w:r>
      <w:r w:rsidRPr="002A6BF2">
        <w:rPr>
          <w:lang w:val="en-US"/>
        </w:rPr>
        <w:fldChar w:fldCharType="separate"/>
      </w:r>
      <w:r w:rsidR="00B255F3" w:rsidRPr="002A6BF2">
        <w:rPr>
          <w:noProof/>
          <w:lang w:val="en-US"/>
        </w:rPr>
        <w:t>(Sikkema et al., 1994)</w:t>
      </w:r>
      <w:r w:rsidRPr="002A6BF2">
        <w:rPr>
          <w:lang w:val="en-US"/>
        </w:rPr>
        <w:fldChar w:fldCharType="end"/>
      </w:r>
      <w:r w:rsidR="001462FF" w:rsidRPr="002A6BF2">
        <w:rPr>
          <w:lang w:val="en-US"/>
        </w:rPr>
        <w:t xml:space="preserve"> and is therefore an indicator for a compounds toxicity</w:t>
      </w:r>
      <w:r w:rsidRPr="002A6BF2">
        <w:rPr>
          <w:lang w:val="en-US"/>
        </w:rPr>
        <w:t>. Solvent-tolerant Pseudomonads</w:t>
      </w:r>
      <w:r w:rsidRPr="002A6BF2">
        <w:rPr>
          <w:i/>
          <w:lang w:val="en-US"/>
        </w:rPr>
        <w:t xml:space="preserve"> </w:t>
      </w:r>
      <w:r w:rsidRPr="002A6BF2">
        <w:rPr>
          <w:lang w:val="en-US"/>
        </w:rPr>
        <w:t>are considered especially resistant to chemicals with a log</w:t>
      </w:r>
      <w:r w:rsidR="001462FF" w:rsidRPr="002A6BF2">
        <w:rPr>
          <w:lang w:val="en-US"/>
        </w:rPr>
        <w:t xml:space="preserve"> </w:t>
      </w:r>
      <w:r w:rsidRPr="002A6BF2">
        <w:rPr>
          <w:lang w:val="en-US"/>
        </w:rPr>
        <w:t>P</w:t>
      </w:r>
      <w:r w:rsidRPr="002A6BF2">
        <w:rPr>
          <w:vertAlign w:val="subscript"/>
          <w:lang w:val="en-US"/>
        </w:rPr>
        <w:t>O/W</w:t>
      </w:r>
      <w:r w:rsidRPr="002A6BF2">
        <w:rPr>
          <w:lang w:val="en-US"/>
        </w:rPr>
        <w:t xml:space="preserve"> value between 2.5 and 4 </w:t>
      </w:r>
      <w:r w:rsidRPr="002A6BF2">
        <w:rPr>
          <w:lang w:val="en-US"/>
        </w:rPr>
        <w:fldChar w:fldCharType="begin" w:fldLock="1"/>
      </w:r>
      <w:r w:rsidR="005C0145" w:rsidRPr="002A6BF2">
        <w:rPr>
          <w:lang w:val="en-US"/>
        </w:rPr>
        <w:instrText>ADDIN CSL_CITATION {"citationItems":[{"id":"ITEM-1","itemData":{"DOI":"10.1021/bp0200595","ISSN":"87567938","abstract":"Most bacteria and their enzymes are destroyed or inactivated in the presence of organic solvents. Organic solvent tolerant bacteria are a relatively novel group of extremophilic microorganisms that combat these destructive effects and thrive in the presence of high concentrations of organic solvents as a result of various adaptations. These bacteria are being explored for their potential in industrial and environmental biotechnology, since their enzymes retain activity in the presence of toxic solvents. This property could be exploited to carry out bioremediation and biocatalysis in the presence of an organic phase. Because a large number of substrates used in industrial chemistry, such as steroids, are water-insoluble, their bioconversion rates are affected by poor dissolution in water. This problem can be overcome by carrying out the process in a biphasic organic-aqueous fermentation system, wherein the substrate is dissolved in the organic phase and provided to cells present in the aqueous phase. In bioprocessing of fine chemicals such as cis-diols and epoxides using such cultures, organic solvents can be used to extract a toxic product from the aqueous phase, thereby improving the efficiency of the process. Bacterial strains reported to grow on and utilize saturated concentrations of organic solvents such as toluene can revolutionize the removal of such pollutants. It is now known that enzymes display striking new properties in the presence of organic solvents. The role of solvent-stable enzymes in nonaqueous biocatalysis needs to be explored and could result in novel applications.","author":[{"dropping-particle":"","family":"Sardessai","given":"Yogita N.","non-dropping-particle":"","parse-names":false,"suffix":""},{"dropping-particle":"","family":"Bhosle","given":"Saroj","non-dropping-particle":"","parse-names":false,"suffix":""}],"container-title":"Biotechnology Progress","id":"ITEM-1","issue":"3","issued":{"date-parts":[["2004"]]},"page":"655-660","title":"Industrial potential of organic solvent tolerant bacteria","type":"article-journal","volume":"20"},"uris":["http://www.mendeley.com/documents/?uuid=103ffcb7-4733-4da8-b653-142013a2c3c7"]},{"id":"ITEM-2","itemData":{"DOI":"10.1128/AEM.70.6.3637-3643.2004","ISSN":"00992240","abstract":"Pseudomonas putida strain DOT-T1E is highly tolerant to organic solvents, with a logPow (the logarithm of the partition coefficient of a solvent in a two-phase water-octanol system of ≥2.5. Solvent tolerant microorganisms can be exploited to develop double-phase (organic solvent and water) biotransformation systems in which toxic substrates or products are kept in the organic phase. We tested P. putida DOT-T1E tolerance to different aliphatic alcohols with a logPow value between 2 and 4, such as decanol, nonanol, and octanol, which are potentially useful in biotransformations in double-phase systems in which compounds with a logP ow around 1.5 are produced. P. putida DOT-TIE responds to aliphatic alcohols as the second phase through cis-to-trans isomerization of unsaturated cis fatty acids and through efflux of these aliphatic alcohols via a series of pumps that also extrude aromatic hydrocarbons. These defense mechanisms allow P. putida DOT-T1E to survive well in the presence of high concentrations of the aliphatic alcohols, and growth with nonanol or decanol occurred at a high rate, whereas in the presence of an octanol double-phase growth was compromised. Our results support that the logPow of aliphatic alcohols correlates with their toxic effects, as octanol (logPow = 2.9) has more negative effects in P. putida cells than 1-nonanol (logPow = 3.4) or 1-decanol (logPow = 4). A P. putida DOT-T1E derivative bearing plasmid pWW0-xylE::Km transforms m-xylene (logPow = 3.2) into 3-methylcatechol (logPow = 1.8). The amount of 3-methylcatechol produced in an aliphatic alcohol/water bioreactor was 10- to 20-fold higher than in an aqueous medium, demonstrating the usefulness of double-phase systems for this particular biotransformation.","author":[{"dropping-particle":"","family":"Rojas","given":"Antonia","non-dropping-particle":"","parse-names":false,"suffix":""},{"dropping-particle":"","family":"Duque","given":"Estrella","non-dropping-particle":"","parse-names":false,"suffix":""},{"dropping-particle":"","family":"Schmid","given":"Andreas","non-dropping-particle":"","parse-names":false,"suffix":""},{"dropping-particle":"","family":"Hurtado","given":"Ana","non-dropping-particle":"","parse-names":false,"suffix":""},{"dropping-particle":"","family":"Ramos","given":"Juan Luis","non-dropping-particle":"","parse-names":false,"suffix":""},{"dropping-particle":"","family":"Segura","given":"Ana","non-dropping-particle":"","parse-names":false,"suffix":""}],"container-title":"Applied and Environmental Microbiology","id":"ITEM-2","issue":"6","issued":{"date-parts":[["2004"]]},"page":"3637-3643","title":"Biotransformation in double-phase systems: Physiological responses of &lt;i&gt;Pseudomonas putida&lt;/i&gt; DOT-T1E to a double phase made of aliphatic alcohols and biosynthesis of substituted catechols","type":"article-journal","volume":"70"},"uris":["http://www.mendeley.com/documents/?uuid=964b2978-9d84-45c5-89e7-046dc6ca65d2"]}],"mendeley":{"formattedCitation":"(Rojas et al., 2004; Sardessai &amp; Bhosle, 2004)","plainTextFormattedCitation":"(Rojas et al., 2004; Sardessai &amp; Bhosle, 2004)","previouslyFormattedCitation":"(Rojas et al., 2004; Sardessai &amp; Bhosle, 2004)"},"properties":{"noteIndex":0},"schema":"https://github.com/citation-style-language/schema/raw/master/csl-citation.json"}</w:instrText>
      </w:r>
      <w:r w:rsidRPr="002A6BF2">
        <w:rPr>
          <w:lang w:val="en-US"/>
        </w:rPr>
        <w:fldChar w:fldCharType="separate"/>
      </w:r>
      <w:r w:rsidR="00B255F3" w:rsidRPr="002A6BF2">
        <w:rPr>
          <w:noProof/>
          <w:lang w:val="en-US"/>
        </w:rPr>
        <w:t>(Rojas et al., 2004; Sardessai &amp; Bhosle, 2004)</w:t>
      </w:r>
      <w:r w:rsidRPr="002A6BF2">
        <w:rPr>
          <w:lang w:val="en-US"/>
        </w:rPr>
        <w:fldChar w:fldCharType="end"/>
      </w:r>
      <w:r w:rsidRPr="002A6BF2">
        <w:rPr>
          <w:lang w:val="en-US"/>
        </w:rPr>
        <w:t xml:space="preserve"> making them promising host</w:t>
      </w:r>
      <w:r w:rsidR="00954956" w:rsidRPr="002A6BF2">
        <w:rPr>
          <w:lang w:val="en-US"/>
        </w:rPr>
        <w:t>s</w:t>
      </w:r>
      <w:r w:rsidRPr="002A6BF2">
        <w:rPr>
          <w:lang w:val="en-US"/>
        </w:rPr>
        <w:t xml:space="preserve"> for stilbene synthesis</w:t>
      </w:r>
      <w:r w:rsidR="00C328AB" w:rsidRPr="002A6BF2">
        <w:rPr>
          <w:lang w:val="en-US"/>
        </w:rPr>
        <w:t xml:space="preserve">. </w:t>
      </w:r>
      <w:r w:rsidR="00C328AB" w:rsidRPr="002A6BF2">
        <w:rPr>
          <w:i/>
          <w:lang w:val="en-US"/>
        </w:rPr>
        <w:t>P. taiwanensis</w:t>
      </w:r>
      <w:r w:rsidR="00C328AB" w:rsidRPr="002A6BF2">
        <w:rPr>
          <w:lang w:val="en-US"/>
        </w:rPr>
        <w:t xml:space="preserve"> VLB120 was chosen over other Pseudomonads due to its solvent-tolerance and classification as biosafety level 1 organism </w:t>
      </w:r>
      <w:r w:rsidR="00A95520" w:rsidRPr="002A6BF2">
        <w:rPr>
          <w:lang w:val="en-US"/>
        </w:rPr>
        <w:t>in Germany</w:t>
      </w:r>
      <w:r w:rsidRPr="002A6BF2">
        <w:rPr>
          <w:lang w:val="en-US"/>
        </w:rPr>
        <w:t>.</w:t>
      </w:r>
      <w:r w:rsidR="00A95520" w:rsidRPr="002A6BF2">
        <w:rPr>
          <w:lang w:val="en-US"/>
        </w:rPr>
        <w:t xml:space="preserve"> Furthermore, there are genome-reduced chassis strains available for this species with greatly improved bioprocess features </w:t>
      </w:r>
      <w:r w:rsidR="00A95520" w:rsidRPr="002A6BF2">
        <w:rPr>
          <w:lang w:val="en-US"/>
        </w:rPr>
        <w:fldChar w:fldCharType="begin" w:fldLock="1"/>
      </w:r>
      <w:r w:rsidR="00A95520" w:rsidRPr="002A6BF2">
        <w:rPr>
          <w:lang w:val="en-US"/>
        </w:rPr>
        <w:instrText>ADDIN CSL_CITATION {"citationItems":[{"id":"ITEM-1","itemData":{"DOI":"10.1021/acssynbio.9b00108","ISSN":"2161-5063","abstract":"Microbes harbor many traits that are dispensable or even unfavorable under industrial and laboratory settings. The elimination of such traits could improve the host's efficiency, genetic stability, and robustness, thereby increasing the predictability and boosting its performance as a microbial cell factory. We engineered solvent-tolerant Pseudomonas taiwanensis VLB120 to yield streamlined chassis strains with higher growth rates and biomass yields, enhanced solvent tolerance, and improved process performance. In total, the genome was reduced by up to 10%. This was achieved by the elimination of genes that enable the cell to swim and form biofilms and by the deletion of the megaplasmid pSTY and large proviral segments. The resulting strain GRC1 had a 15% higher growth rate and biomass yield than the wildtype. However, this strain lacks the pSTY-encoded efflux pump TtgGHI, rendering it solvent-sensitive. Through reintegration of ttgGHI by chromosomal insertion without (GRC2) and with (GRC3) the corresponding regulator genes, the solvent-tolerant phenotype was enhanced. The generated P. taiwanensis GRC strains enlarge the repertoire of streamlined chassis with enhanced key performance indicators, making them attractive hosts for biotechnological applications. The different solvent tolerance levels of GRC1, GRC2, and GRC3 enable the selection of a fitting host platform in relation to the desired process requirements in a chassis à la carte principle. This was demonstrated in a metabolic engineering approach for the production of phenol from glycerol. The streamlined producer GRC1Δ5-TPL38 outperformed the equivalent nonstreamlined producer VLB120Δ5-TPL38 concerning phenol titer, rate, and yield, thereby highlighting the added value of the streamlined chassis.","author":[{"dropping-particle":"","family":"Wynands","given":"Benedikt","non-dropping-particle":"","parse-names":false,"suffix":""},{"dropping-particle":"","family":"Otto","given":"Maike","non-dropping-particle":"","parse-names":false,"suffix":""},{"dropping-particle":"","family":"Runge","given":"Nadine","non-dropping-particle":"","parse-names":false,"suffix":""},{"dropping-particle":"","family":"Preckel","given":"Sarah","non-dropping-particle":"","parse-names":false,"suffix":""},{"dropping-particle":"","family":"Polen","given":"Tino","non-dropping-particle":"","parse-names":false,"suffix":""},{"dropping-particle":"","family":"Blank","given":"Lars M.","non-dropping-particle":"","parse-names":false,"suffix":""},{"dropping-particle":"","family":"Wierckx","given":"Nick","non-dropping-particle":"","parse-names":false,"suffix":""}],"container-title":"ACS Synthetic Biology","genre":"research-article","id":"ITEM-1","issue":"9","issued":{"date-parts":[["2019","9","20"]]},"page":"2036-2050","publisher":"American Chemical Society","title":"Streamlined &lt;i&gt;Pseudomonas taiwanensis&lt;/i&gt; VLB120 Chassis Strains with Improved Bioprocess Features","type":"article-journal","volume":"8"},"uris":["http://www.mendeley.com/documents/?uuid=ae705106-25ad-47ac-9984-12eea027aaf6"]}],"mendeley":{"formattedCitation":"(Wynands et al., 2019)","plainTextFormattedCitation":"(Wynands et al., 2019)","previouslyFormattedCitation":"(Wynands et al., 2019)"},"properties":{"noteIndex":0},"schema":"https://github.com/citation-style-language/schema/raw/master/csl-citation.json"}</w:instrText>
      </w:r>
      <w:r w:rsidR="00A95520" w:rsidRPr="002A6BF2">
        <w:rPr>
          <w:lang w:val="en-US"/>
        </w:rPr>
        <w:fldChar w:fldCharType="separate"/>
      </w:r>
      <w:r w:rsidR="00A95520" w:rsidRPr="002A6BF2">
        <w:rPr>
          <w:noProof/>
          <w:lang w:val="en-US"/>
        </w:rPr>
        <w:t>(Wynands et al., 2019)</w:t>
      </w:r>
      <w:r w:rsidR="00A95520" w:rsidRPr="002A6BF2">
        <w:rPr>
          <w:lang w:val="en-US"/>
        </w:rPr>
        <w:fldChar w:fldCharType="end"/>
      </w:r>
      <w:r w:rsidR="00A95520" w:rsidRPr="002A6BF2">
        <w:rPr>
          <w:lang w:val="en-US"/>
        </w:rPr>
        <w:t>.</w:t>
      </w:r>
      <w:r w:rsidR="00B63437" w:rsidRPr="002A6BF2">
        <w:rPr>
          <w:lang w:val="en-US"/>
        </w:rPr>
        <w:t xml:space="preserve"> </w:t>
      </w:r>
      <w:r w:rsidR="00793C96" w:rsidRPr="002A6BF2">
        <w:rPr>
          <w:lang w:val="en-US"/>
        </w:rPr>
        <w:t xml:space="preserve">To assess the tolerance </w:t>
      </w:r>
      <w:r w:rsidR="006C2D96" w:rsidRPr="002A6BF2">
        <w:rPr>
          <w:lang w:val="en-US"/>
        </w:rPr>
        <w:t xml:space="preserve">of </w:t>
      </w:r>
      <w:r w:rsidR="006C2D96" w:rsidRPr="002A6BF2">
        <w:rPr>
          <w:i/>
          <w:lang w:val="en-US"/>
        </w:rPr>
        <w:t>P.</w:t>
      </w:r>
      <w:r w:rsidR="00620D9C" w:rsidRPr="002A6BF2">
        <w:rPr>
          <w:i/>
          <w:lang w:val="en-US"/>
        </w:rPr>
        <w:t> </w:t>
      </w:r>
      <w:r w:rsidR="006C2D96" w:rsidRPr="002A6BF2">
        <w:rPr>
          <w:i/>
          <w:lang w:val="en-US"/>
        </w:rPr>
        <w:t>taiwanensis</w:t>
      </w:r>
      <w:r w:rsidR="006C2D96" w:rsidRPr="002A6BF2">
        <w:rPr>
          <w:lang w:val="en-US"/>
        </w:rPr>
        <w:t xml:space="preserve"> VLB120 wild</w:t>
      </w:r>
      <w:r w:rsidR="007F5EB6" w:rsidRPr="002A6BF2">
        <w:rPr>
          <w:lang w:val="en-US"/>
        </w:rPr>
        <w:t>-</w:t>
      </w:r>
      <w:r w:rsidR="006C2D96" w:rsidRPr="002A6BF2">
        <w:rPr>
          <w:lang w:val="en-US"/>
        </w:rPr>
        <w:t xml:space="preserve">type, </w:t>
      </w:r>
      <w:r w:rsidR="0091770D" w:rsidRPr="002A6BF2">
        <w:rPr>
          <w:lang w:val="en-US"/>
        </w:rPr>
        <w:t xml:space="preserve">genome-reduced </w:t>
      </w:r>
      <w:r w:rsidR="0091770D" w:rsidRPr="002A6BF2">
        <w:rPr>
          <w:i/>
          <w:lang w:val="en-US"/>
        </w:rPr>
        <w:t xml:space="preserve">chassis </w:t>
      </w:r>
      <w:r w:rsidR="0091770D" w:rsidRPr="002A6BF2">
        <w:rPr>
          <w:lang w:val="en-US"/>
        </w:rPr>
        <w:t xml:space="preserve">strains </w:t>
      </w:r>
      <w:r w:rsidR="006C2D96" w:rsidRPr="002A6BF2">
        <w:rPr>
          <w:lang w:val="en-US"/>
        </w:rPr>
        <w:t>GRC1, GRC2, GRC3</w:t>
      </w:r>
      <w:r w:rsidR="007274D3" w:rsidRPr="002A6BF2">
        <w:rPr>
          <w:lang w:val="en-US"/>
        </w:rPr>
        <w:t xml:space="preserve"> </w:t>
      </w:r>
      <w:r w:rsidR="007274D3" w:rsidRPr="002A6BF2">
        <w:rPr>
          <w:lang w:val="en-US"/>
        </w:rPr>
        <w:fldChar w:fldCharType="begin" w:fldLock="1"/>
      </w:r>
      <w:r w:rsidR="00E83298" w:rsidRPr="002A6BF2">
        <w:rPr>
          <w:lang w:val="en-US"/>
        </w:rPr>
        <w:instrText>ADDIN CSL_CITATION {"citationItems":[{"id":"ITEM-1","itemData":{"DOI":"10.1021/acssynbio.9b00108","ISSN":"2161-5063","abstract":"Microbes harbor many traits that are dispensable or even unfavorable under industrial and laboratory settings. The elimination of such traits could improve the host's efficiency, genetic stability, and robustness, thereby increasing the predictability and boosting its performance as a microbial cell factory. We engineered solvent-tolerant Pseudomonas taiwanensis VLB120 to yield streamlined chassis strains with higher growth rates and biomass yields, enhanced solvent tolerance, and improved process performance. In total, the genome was reduced by up to 10%. This was achieved by the elimination of genes that enable the cell to swim and form biofilms and by the deletion of the megaplasmid pSTY and large proviral segments. The resulting strain GRC1 had a 15% higher growth rate and biomass yield than the wildtype. However, this strain lacks the pSTY-encoded efflux pump TtgGHI, rendering it solvent-sensitive. Through reintegration of ttgGHI by chromosomal insertion without (GRC2) and with (GRC3) the corresponding regulator genes, the solvent-tolerant phenotype was enhanced. The generated P. taiwanensis GRC strains enlarge the repertoire of streamlined chassis with enhanced key performance indicators, making them attractive hosts for biotechnological applications. The different solvent tolerance levels of GRC1, GRC2, and GRC3 enable the selection of a fitting host platform in relation to the desired process requirements in a chassis à la carte principle. This was demonstrated in a metabolic engineering approach for the production of phenol from glycerol. The streamlined producer GRC1Δ5-TPL38 outperformed the equivalent nonstreamlined producer VLB120Δ5-TPL38 concerning phenol titer, rate, and yield, thereby highlighting the added value of the streamlined chassis.","author":[{"dropping-particle":"","family":"Wynands","given":"Benedikt","non-dropping-particle":"","parse-names":false,"suffix":""},{"dropping-particle":"","family":"Otto","given":"Maike","non-dropping-particle":"","parse-names":false,"suffix":""},{"dropping-particle":"","family":"Runge","given":"Nadine","non-dropping-particle":"","parse-names":false,"suffix":""},{"dropping-particle":"","family":"Preckel","given":"Sarah","non-dropping-particle":"","parse-names":false,"suffix":""},{"dropping-particle":"","family":"Polen","given":"Tino","non-dropping-particle":"","parse-names":false,"suffix":""},{"dropping-particle":"","family":"Blank","given":"Lars M.","non-dropping-particle":"","parse-names":false,"suffix":""},{"dropping-particle":"","family":"Wierckx","given":"Nick","non-dropping-particle":"","parse-names":false,"suffix":""}],"container-title":"ACS Synthetic Biology","genre":"research-article","id":"ITEM-1","issue":"9","issued":{"date-parts":[["2019","9","20"]]},"page":"2036-2050","publisher":"American Chemical Society","title":"Streamlined &lt;i&gt;Pseudomonas taiwanensis&lt;/i&gt; VLB120 Chassis Strains with Improved Bioprocess Features","type":"article-journal","volume":"8"},"uris":["http://www.mendeley.com/documents/?uuid=ae705106-25ad-47ac-9984-12eea027aaf6"]}],"mendeley":{"formattedCitation":"(Wynands et al., 2019)","plainTextFormattedCitation":"(Wynands et al., 2019)","previouslyFormattedCitation":"(Wynands et al., 2019)"},"properties":{"noteIndex":0},"schema":"https://github.com/citation-style-language/schema/raw/master/csl-citation.json"}</w:instrText>
      </w:r>
      <w:r w:rsidR="007274D3" w:rsidRPr="002A6BF2">
        <w:rPr>
          <w:lang w:val="en-US"/>
        </w:rPr>
        <w:fldChar w:fldCharType="separate"/>
      </w:r>
      <w:r w:rsidR="00B255F3" w:rsidRPr="002A6BF2">
        <w:rPr>
          <w:noProof/>
          <w:lang w:val="en-US"/>
        </w:rPr>
        <w:t>(Wynands et al., 2019)</w:t>
      </w:r>
      <w:r w:rsidR="007274D3" w:rsidRPr="002A6BF2">
        <w:rPr>
          <w:lang w:val="en-US"/>
        </w:rPr>
        <w:fldChar w:fldCharType="end"/>
      </w:r>
      <w:r w:rsidR="006C2D96" w:rsidRPr="002A6BF2">
        <w:rPr>
          <w:lang w:val="en-US"/>
        </w:rPr>
        <w:t xml:space="preserve"> and </w:t>
      </w:r>
      <w:r w:rsidR="006C2D96" w:rsidRPr="002A6BF2">
        <w:rPr>
          <w:i/>
          <w:lang w:val="en-US"/>
        </w:rPr>
        <w:t>E. coli</w:t>
      </w:r>
      <w:r w:rsidR="006C2D96" w:rsidRPr="002A6BF2">
        <w:rPr>
          <w:lang w:val="en-US"/>
        </w:rPr>
        <w:t xml:space="preserve"> BL21 (DE</w:t>
      </w:r>
      <w:r w:rsidR="001C1D03" w:rsidRPr="002A6BF2">
        <w:rPr>
          <w:lang w:val="en-US"/>
        </w:rPr>
        <w:t>3</w:t>
      </w:r>
      <w:r w:rsidR="006C2D96" w:rsidRPr="002A6BF2">
        <w:rPr>
          <w:lang w:val="en-US"/>
        </w:rPr>
        <w:t>)</w:t>
      </w:r>
      <w:r w:rsidR="00793C96" w:rsidRPr="002A6BF2">
        <w:rPr>
          <w:lang w:val="en-US"/>
        </w:rPr>
        <w:t>, these strains</w:t>
      </w:r>
      <w:r w:rsidR="008F58EE" w:rsidRPr="002A6BF2">
        <w:rPr>
          <w:lang w:val="en-US"/>
        </w:rPr>
        <w:t xml:space="preserve"> (Supplementary Table S1)</w:t>
      </w:r>
      <w:r w:rsidR="00793C96" w:rsidRPr="002A6BF2">
        <w:rPr>
          <w:lang w:val="en-US"/>
        </w:rPr>
        <w:t xml:space="preserve"> were cultured </w:t>
      </w:r>
      <w:r w:rsidR="006C2D96" w:rsidRPr="002A6BF2">
        <w:rPr>
          <w:lang w:val="en-US"/>
        </w:rPr>
        <w:t>in mineral salt medium</w:t>
      </w:r>
      <w:r w:rsidR="00B26117" w:rsidRPr="002A6BF2">
        <w:rPr>
          <w:lang w:val="en-US"/>
        </w:rPr>
        <w:t xml:space="preserve"> (MSM)</w:t>
      </w:r>
      <w:r w:rsidR="006C2D96" w:rsidRPr="002A6BF2">
        <w:rPr>
          <w:lang w:val="en-US"/>
        </w:rPr>
        <w:t xml:space="preserve"> with 0</w:t>
      </w:r>
      <w:r w:rsidR="00FC5EAF" w:rsidRPr="002A6BF2">
        <w:rPr>
          <w:lang w:val="en-US"/>
        </w:rPr>
        <w:t xml:space="preserve">, </w:t>
      </w:r>
      <w:r w:rsidR="006C2D96" w:rsidRPr="002A6BF2">
        <w:rPr>
          <w:lang w:val="en-US"/>
        </w:rPr>
        <w:t>50</w:t>
      </w:r>
      <w:r w:rsidR="00FC5EAF" w:rsidRPr="002A6BF2">
        <w:rPr>
          <w:lang w:val="en-US"/>
        </w:rPr>
        <w:t>,</w:t>
      </w:r>
      <w:r w:rsidR="006C2D96" w:rsidRPr="002A6BF2">
        <w:rPr>
          <w:lang w:val="en-US"/>
        </w:rPr>
        <w:t xml:space="preserve"> 100</w:t>
      </w:r>
      <w:r w:rsidR="00FC5EAF" w:rsidRPr="002A6BF2">
        <w:rPr>
          <w:lang w:val="en-US"/>
        </w:rPr>
        <w:t>,</w:t>
      </w:r>
      <w:r w:rsidR="006C2D96" w:rsidRPr="002A6BF2">
        <w:rPr>
          <w:lang w:val="en-US"/>
        </w:rPr>
        <w:t xml:space="preserve"> and 150 </w:t>
      </w:r>
      <w:r w:rsidR="003267BF" w:rsidRPr="002A6BF2">
        <w:rPr>
          <w:lang w:val="en-US"/>
        </w:rPr>
        <w:t>mg L</w:t>
      </w:r>
      <w:r w:rsidR="003267BF" w:rsidRPr="002A6BF2">
        <w:rPr>
          <w:vertAlign w:val="superscript"/>
          <w:lang w:val="en-US"/>
        </w:rPr>
        <w:t>-1</w:t>
      </w:r>
      <w:r w:rsidR="003267BF" w:rsidRPr="002A6BF2">
        <w:rPr>
          <w:lang w:val="en-US"/>
        </w:rPr>
        <w:t xml:space="preserve"> </w:t>
      </w:r>
      <w:r w:rsidR="006C2D96" w:rsidRPr="002A6BF2">
        <w:rPr>
          <w:lang w:val="en-US"/>
        </w:rPr>
        <w:t>pinosylvin</w:t>
      </w:r>
      <w:r w:rsidRPr="002A6BF2">
        <w:rPr>
          <w:lang w:val="en-US"/>
        </w:rPr>
        <w:t xml:space="preserve"> </w:t>
      </w:r>
      <w:r w:rsidR="00095B7A" w:rsidRPr="002A6BF2">
        <w:rPr>
          <w:lang w:val="en-US"/>
        </w:rPr>
        <w:t>(</w:t>
      </w:r>
      <w:r w:rsidR="00325010" w:rsidRPr="002A6BF2">
        <w:rPr>
          <w:lang w:val="en-US"/>
        </w:rPr>
        <w:t>Fig.</w:t>
      </w:r>
      <w:r w:rsidR="00095B7A" w:rsidRPr="002A6BF2">
        <w:rPr>
          <w:lang w:val="en-US"/>
        </w:rPr>
        <w:t xml:space="preserve"> </w:t>
      </w:r>
      <w:r w:rsidR="00DC53B8" w:rsidRPr="002A6BF2">
        <w:rPr>
          <w:lang w:val="en-US"/>
        </w:rPr>
        <w:t>2</w:t>
      </w:r>
      <w:r w:rsidR="00095B7A" w:rsidRPr="002A6BF2">
        <w:rPr>
          <w:lang w:val="en-US"/>
        </w:rPr>
        <w:t>)</w:t>
      </w:r>
      <w:r w:rsidR="006C2D96" w:rsidRPr="002A6BF2">
        <w:rPr>
          <w:lang w:val="en-US"/>
        </w:rPr>
        <w:t>.</w:t>
      </w:r>
      <w:r w:rsidR="00095B7A" w:rsidRPr="002A6BF2">
        <w:rPr>
          <w:lang w:val="en-US"/>
        </w:rPr>
        <w:t xml:space="preserve"> </w:t>
      </w:r>
      <w:r w:rsidR="002E5D68" w:rsidRPr="002A6BF2">
        <w:rPr>
          <w:lang w:val="en-US"/>
        </w:rPr>
        <w:t>T</w:t>
      </w:r>
      <w:r w:rsidRPr="002A6BF2">
        <w:rPr>
          <w:lang w:val="en-US"/>
        </w:rPr>
        <w:t>he growth of</w:t>
      </w:r>
      <w:r w:rsidR="00A74C93" w:rsidRPr="002A6BF2">
        <w:rPr>
          <w:lang w:val="en-US"/>
        </w:rPr>
        <w:t xml:space="preserve"> </w:t>
      </w:r>
      <w:r w:rsidR="00A74C93" w:rsidRPr="002A6BF2">
        <w:rPr>
          <w:i/>
          <w:lang w:val="en-US"/>
        </w:rPr>
        <w:t>E.</w:t>
      </w:r>
      <w:r w:rsidR="00BF1164" w:rsidRPr="002A6BF2">
        <w:rPr>
          <w:i/>
          <w:lang w:val="en-US"/>
        </w:rPr>
        <w:t> </w:t>
      </w:r>
      <w:r w:rsidR="00A74C93" w:rsidRPr="002A6BF2">
        <w:rPr>
          <w:i/>
          <w:lang w:val="en-US"/>
        </w:rPr>
        <w:t>coli</w:t>
      </w:r>
      <w:r w:rsidR="00A74C93" w:rsidRPr="002A6BF2">
        <w:rPr>
          <w:lang w:val="en-US"/>
        </w:rPr>
        <w:t xml:space="preserve"> </w:t>
      </w:r>
      <w:r w:rsidR="0091770D" w:rsidRPr="002A6BF2">
        <w:rPr>
          <w:lang w:val="en-US"/>
        </w:rPr>
        <w:t>BL21 (DE3)</w:t>
      </w:r>
      <w:r w:rsidR="00A74C93" w:rsidRPr="002A6BF2">
        <w:rPr>
          <w:lang w:val="en-US"/>
        </w:rPr>
        <w:t xml:space="preserve"> was </w:t>
      </w:r>
      <w:r w:rsidR="001C2E8C" w:rsidRPr="002A6BF2">
        <w:rPr>
          <w:lang w:val="en-US"/>
        </w:rPr>
        <w:t>greatly reduced</w:t>
      </w:r>
      <w:r w:rsidR="00DD4635" w:rsidRPr="002A6BF2">
        <w:rPr>
          <w:lang w:val="en-US"/>
        </w:rPr>
        <w:t>, reaching only 63</w:t>
      </w:r>
      <w:r w:rsidR="00E1093F" w:rsidRPr="002A6BF2">
        <w:rPr>
          <w:lang w:val="en-US"/>
        </w:rPr>
        <w:t xml:space="preserve">% </w:t>
      </w:r>
      <w:r w:rsidR="00DD4635" w:rsidRPr="002A6BF2">
        <w:rPr>
          <w:lang w:val="en-US"/>
        </w:rPr>
        <w:t xml:space="preserve">of the </w:t>
      </w:r>
      <w:r w:rsidR="00E1093F" w:rsidRPr="002A6BF2">
        <w:rPr>
          <w:lang w:val="en-US"/>
        </w:rPr>
        <w:t xml:space="preserve">final biomass </w:t>
      </w:r>
      <w:r w:rsidR="001C2E8C" w:rsidRPr="002A6BF2">
        <w:rPr>
          <w:lang w:val="en-US"/>
        </w:rPr>
        <w:t xml:space="preserve">in the presence of </w:t>
      </w:r>
      <w:r w:rsidR="00A74C93" w:rsidRPr="002A6BF2">
        <w:rPr>
          <w:lang w:val="en-US"/>
        </w:rPr>
        <w:t>50 mg</w:t>
      </w:r>
      <w:r w:rsidR="003267BF" w:rsidRPr="002A6BF2">
        <w:rPr>
          <w:lang w:val="en-US"/>
        </w:rPr>
        <w:t xml:space="preserve"> </w:t>
      </w:r>
      <w:r w:rsidR="00A74C93" w:rsidRPr="002A6BF2">
        <w:rPr>
          <w:lang w:val="en-US"/>
        </w:rPr>
        <w:t>L</w:t>
      </w:r>
      <w:r w:rsidR="003267BF" w:rsidRPr="002A6BF2">
        <w:rPr>
          <w:vertAlign w:val="superscript"/>
          <w:lang w:val="en-US"/>
        </w:rPr>
        <w:t>-1</w:t>
      </w:r>
      <w:r w:rsidR="00A74C93" w:rsidRPr="002A6BF2">
        <w:rPr>
          <w:lang w:val="en-US"/>
        </w:rPr>
        <w:t xml:space="preserve"> </w:t>
      </w:r>
      <w:r w:rsidR="007F74F7" w:rsidRPr="002A6BF2">
        <w:rPr>
          <w:lang w:val="en-US"/>
        </w:rPr>
        <w:t>(0.24 mM)</w:t>
      </w:r>
      <w:r w:rsidR="00227CCF" w:rsidRPr="002A6BF2">
        <w:rPr>
          <w:lang w:val="en-US"/>
        </w:rPr>
        <w:t xml:space="preserve"> </w:t>
      </w:r>
      <w:r w:rsidR="00A74C93" w:rsidRPr="002A6BF2">
        <w:rPr>
          <w:lang w:val="en-US"/>
        </w:rPr>
        <w:t xml:space="preserve">pinosylvin </w:t>
      </w:r>
      <w:r w:rsidR="00DD4635" w:rsidRPr="002A6BF2">
        <w:rPr>
          <w:lang w:val="en-US"/>
        </w:rPr>
        <w:t xml:space="preserve">compared to the unstressed control </w:t>
      </w:r>
      <w:r w:rsidR="00A74C93" w:rsidRPr="002A6BF2">
        <w:rPr>
          <w:lang w:val="en-US"/>
        </w:rPr>
        <w:t xml:space="preserve">and </w:t>
      </w:r>
      <w:r w:rsidR="001C2E8C" w:rsidRPr="002A6BF2">
        <w:rPr>
          <w:lang w:val="en-US"/>
        </w:rPr>
        <w:t xml:space="preserve">completely inhibited by </w:t>
      </w:r>
      <w:r w:rsidR="00A74C93" w:rsidRPr="002A6BF2">
        <w:rPr>
          <w:lang w:val="en-US"/>
        </w:rPr>
        <w:t>100</w:t>
      </w:r>
      <w:r w:rsidR="002E5D68" w:rsidRPr="002A6BF2">
        <w:rPr>
          <w:lang w:val="en-US"/>
        </w:rPr>
        <w:t xml:space="preserve"> and 150</w:t>
      </w:r>
      <w:r w:rsidR="00A74C93" w:rsidRPr="002A6BF2">
        <w:rPr>
          <w:lang w:val="en-US"/>
        </w:rPr>
        <w:t xml:space="preserve"> </w:t>
      </w:r>
      <w:r w:rsidR="003267BF" w:rsidRPr="002A6BF2">
        <w:rPr>
          <w:lang w:val="en-US"/>
        </w:rPr>
        <w:t>mg L</w:t>
      </w:r>
      <w:r w:rsidR="003267BF" w:rsidRPr="002A6BF2">
        <w:rPr>
          <w:vertAlign w:val="superscript"/>
          <w:lang w:val="en-US"/>
        </w:rPr>
        <w:t>-1</w:t>
      </w:r>
      <w:r w:rsidR="007F74F7" w:rsidRPr="002A6BF2">
        <w:rPr>
          <w:lang w:val="en-US"/>
        </w:rPr>
        <w:t xml:space="preserve"> (0.47</w:t>
      </w:r>
      <w:r w:rsidR="00AF5600">
        <w:rPr>
          <w:lang w:val="en-US"/>
        </w:rPr>
        <w:t xml:space="preserve"> mM</w:t>
      </w:r>
      <w:r w:rsidR="007F74F7" w:rsidRPr="002A6BF2">
        <w:rPr>
          <w:lang w:val="en-US"/>
        </w:rPr>
        <w:t xml:space="preserve"> </w:t>
      </w:r>
      <w:r w:rsidR="002E5D68" w:rsidRPr="002A6BF2">
        <w:rPr>
          <w:lang w:val="en-US"/>
        </w:rPr>
        <w:t xml:space="preserve">and 0.71 </w:t>
      </w:r>
      <w:r w:rsidR="007F74F7" w:rsidRPr="002A6BF2">
        <w:rPr>
          <w:lang w:val="en-US"/>
        </w:rPr>
        <w:t>mM</w:t>
      </w:r>
      <w:r w:rsidR="002E5D68" w:rsidRPr="002A6BF2">
        <w:rPr>
          <w:lang w:val="en-US"/>
        </w:rPr>
        <w:t xml:space="preserve">). </w:t>
      </w:r>
      <w:r w:rsidR="002E5D68" w:rsidRPr="002A6BF2">
        <w:rPr>
          <w:lang w:val="en-US"/>
        </w:rPr>
        <w:lastRenderedPageBreak/>
        <w:t xml:space="preserve">In contrast, </w:t>
      </w:r>
      <w:r w:rsidR="00B67B8C" w:rsidRPr="002A6BF2">
        <w:rPr>
          <w:lang w:val="en-US"/>
        </w:rPr>
        <w:t xml:space="preserve">all </w:t>
      </w:r>
      <w:r w:rsidR="00A74C93" w:rsidRPr="002A6BF2">
        <w:rPr>
          <w:i/>
          <w:lang w:val="en-US"/>
        </w:rPr>
        <w:t>P.</w:t>
      </w:r>
      <w:r w:rsidR="00BF1164" w:rsidRPr="002A6BF2">
        <w:rPr>
          <w:i/>
          <w:lang w:val="en-US"/>
        </w:rPr>
        <w:t> </w:t>
      </w:r>
      <w:r w:rsidR="00A74C93" w:rsidRPr="002A6BF2">
        <w:rPr>
          <w:i/>
          <w:lang w:val="en-US"/>
        </w:rPr>
        <w:t>taiwanensis</w:t>
      </w:r>
      <w:r w:rsidR="00A74C93" w:rsidRPr="002A6BF2">
        <w:rPr>
          <w:lang w:val="en-US"/>
        </w:rPr>
        <w:t xml:space="preserve"> </w:t>
      </w:r>
      <w:r w:rsidR="00FC5EAF" w:rsidRPr="002A6BF2">
        <w:rPr>
          <w:lang w:val="en-US"/>
        </w:rPr>
        <w:t xml:space="preserve">strains </w:t>
      </w:r>
      <w:r w:rsidR="00A74C93" w:rsidRPr="002A6BF2">
        <w:rPr>
          <w:lang w:val="en-US"/>
        </w:rPr>
        <w:t>were able to grow at all applied concentrations</w:t>
      </w:r>
      <w:r w:rsidR="00593E4A" w:rsidRPr="002A6BF2">
        <w:rPr>
          <w:lang w:val="en-US"/>
        </w:rPr>
        <w:t xml:space="preserve"> with a reduction of final biomass by </w:t>
      </w:r>
      <w:r w:rsidR="00E66713" w:rsidRPr="002A6BF2">
        <w:rPr>
          <w:lang w:val="en-US"/>
        </w:rPr>
        <w:t xml:space="preserve">about </w:t>
      </w:r>
      <w:r w:rsidR="00593E4A" w:rsidRPr="002A6BF2">
        <w:rPr>
          <w:lang w:val="en-US"/>
        </w:rPr>
        <w:t>72% for the highest pinosylvin concentration</w:t>
      </w:r>
      <w:r w:rsidR="00620D9C" w:rsidRPr="002A6BF2">
        <w:rPr>
          <w:lang w:val="en-US"/>
        </w:rPr>
        <w:t xml:space="preserve">. With increasing pinosylvin concentration the </w:t>
      </w:r>
      <w:r w:rsidR="001C2E8C" w:rsidRPr="002A6BF2">
        <w:rPr>
          <w:lang w:val="en-US"/>
        </w:rPr>
        <w:t xml:space="preserve">biomass density </w:t>
      </w:r>
      <w:r w:rsidR="00620D9C" w:rsidRPr="002A6BF2">
        <w:rPr>
          <w:lang w:val="en-US"/>
        </w:rPr>
        <w:t>decreased</w:t>
      </w:r>
      <w:r w:rsidR="00410451" w:rsidRPr="002A6BF2">
        <w:rPr>
          <w:lang w:val="en-US"/>
        </w:rPr>
        <w:t xml:space="preserve">, indicating an </w:t>
      </w:r>
      <w:r w:rsidR="00B67B8C" w:rsidRPr="002A6BF2">
        <w:rPr>
          <w:lang w:val="en-US"/>
        </w:rPr>
        <w:t>energy-</w:t>
      </w:r>
      <w:r w:rsidR="00410451" w:rsidRPr="002A6BF2">
        <w:rPr>
          <w:lang w:val="en-US"/>
        </w:rPr>
        <w:t>demanding tolerance mechanism</w:t>
      </w:r>
      <w:r w:rsidR="001C2E8C" w:rsidRPr="002A6BF2">
        <w:rPr>
          <w:lang w:val="en-US"/>
        </w:rPr>
        <w:t xml:space="preserve"> </w:t>
      </w:r>
      <w:r w:rsidR="001C2E8C" w:rsidRPr="002A6BF2">
        <w:rPr>
          <w:lang w:val="en-US"/>
        </w:rPr>
        <w:fldChar w:fldCharType="begin" w:fldLock="1"/>
      </w:r>
      <w:r w:rsidR="00776DBE" w:rsidRPr="002A6BF2">
        <w:rPr>
          <w:lang w:val="en-US"/>
        </w:rPr>
        <w:instrText>ADDIN CSL_CITATION {"citationItems":[{"id":"ITEM-1","itemData":{"DOI":"10.1128/aem.65.6.2631-2635.1999","ISSN":"00992240","PMID":"10347053","abstract":"Solvent-tolerant microorganisms are useful in biotransformations with whole cells in two-phase solvent-water systems. The results presented here describe the effects that organic solvents have on the growth of these organisms. The maximal growth rate of Pseudomonas putida S12, 0.8 h-1, was not affected by toluene in batch cultures, but in chemostat cultures the solvent decreased the maximal growth rate by nearly 50%. Toluene, ethylbenzene, propylbenzene, xylene, hexane, and cyclohexane reduced the biomass yield, and this effect depended on the concentration of the solvent in the bacterial membrane and not on its chemical structure. The dose response to solvents in terms of yield was linear up to an approximately 200 mM concentration of solvent in the bacterial membrane, both in the wild type and in a mutant lacking an active efflux system for toluene. Above this critical concentration the yield of the wild type remained constant at 0.2 g of protein/g of glucose with increasing concentrations of toluene. The reduction of the yield in the presence of solvents is due to a maintenance higher by a factor of three or four as well as to a decrease of the maximum growth yield by 33%. Therefore, energy-consuming adaptation processes as well as the uncoupling effect of the solvents reduce the yield of the tolerant cells.","author":[{"dropping-particle":"","family":"Isken","given":"Sonja","non-dropping-particle":"","parse-names":false,"suffix":""},{"dropping-particle":"","family":"Derks","given":"Antoine","non-dropping-particle":"","parse-names":false,"suffix":""},{"dropping-particle":"","family":"Wolffs","given":"Petra F.G.","non-dropping-particle":"","parse-names":false,"suffix":""},{"dropping-particle":"","family":"Bont","given":"Jan A.M.","non-dropping-particle":"De","parse-names":false,"suffix":""}],"container-title":"Applied and Environmental Microbiology","id":"ITEM-1","issue":"6","issued":{"date-parts":[["1999"]]},"page":"2631-2635","title":"Effect of organic solvents on the yield of solvent-tolerant &lt;i&gt;Pseudomonas putida&lt;/i&gt; S12","type":"article-journal","volume":"65"},"uris":["http://www.mendeley.com/documents/?uuid=cb97c9e0-40a3-4160-9bac-fa85a7196457"]}],"mendeley":{"formattedCitation":"(Isken et al., 1999)","plainTextFormattedCitation":"(Isken et al., 1999)","previouslyFormattedCitation":"(Isken et al., 1999)"},"properties":{"noteIndex":0},"schema":"https://github.com/citation-style-language/schema/raw/master/csl-citation.json"}</w:instrText>
      </w:r>
      <w:r w:rsidR="001C2E8C" w:rsidRPr="002A6BF2">
        <w:rPr>
          <w:lang w:val="en-US"/>
        </w:rPr>
        <w:fldChar w:fldCharType="separate"/>
      </w:r>
      <w:r w:rsidR="00B255F3" w:rsidRPr="002A6BF2">
        <w:rPr>
          <w:noProof/>
          <w:lang w:val="en-US"/>
        </w:rPr>
        <w:t>(Isken et al., 1999)</w:t>
      </w:r>
      <w:r w:rsidR="001C2E8C" w:rsidRPr="002A6BF2">
        <w:rPr>
          <w:lang w:val="en-US"/>
        </w:rPr>
        <w:fldChar w:fldCharType="end"/>
      </w:r>
      <w:r w:rsidR="001C2E8C" w:rsidRPr="002A6BF2">
        <w:rPr>
          <w:lang w:val="en-US"/>
        </w:rPr>
        <w:t>. Compared to wild</w:t>
      </w:r>
      <w:r w:rsidR="003D6A3F" w:rsidRPr="002A6BF2">
        <w:rPr>
          <w:lang w:val="en-US"/>
        </w:rPr>
        <w:t>-</w:t>
      </w:r>
      <w:r w:rsidR="001C2E8C" w:rsidRPr="002A6BF2">
        <w:rPr>
          <w:lang w:val="en-US"/>
        </w:rPr>
        <w:t xml:space="preserve">type </w:t>
      </w:r>
      <w:r w:rsidR="001C2E8C" w:rsidRPr="002A6BF2">
        <w:rPr>
          <w:i/>
          <w:lang w:val="en-US"/>
        </w:rPr>
        <w:t>P.</w:t>
      </w:r>
      <w:r w:rsidR="00B7262B" w:rsidRPr="002A6BF2">
        <w:rPr>
          <w:i/>
          <w:lang w:val="en-US"/>
        </w:rPr>
        <w:t> </w:t>
      </w:r>
      <w:r w:rsidR="001C2E8C" w:rsidRPr="002A6BF2">
        <w:rPr>
          <w:i/>
          <w:lang w:val="en-US"/>
        </w:rPr>
        <w:t xml:space="preserve">taiwanensis </w:t>
      </w:r>
      <w:r w:rsidR="001C2E8C" w:rsidRPr="002A6BF2">
        <w:rPr>
          <w:lang w:val="en-US"/>
        </w:rPr>
        <w:t>VLB120,</w:t>
      </w:r>
      <w:r w:rsidR="001C2E8C" w:rsidRPr="002A6BF2">
        <w:rPr>
          <w:i/>
          <w:lang w:val="en-US"/>
        </w:rPr>
        <w:t xml:space="preserve"> </w:t>
      </w:r>
      <w:r w:rsidR="001C2E8C" w:rsidRPr="002A6BF2">
        <w:rPr>
          <w:lang w:val="en-US"/>
        </w:rPr>
        <w:t xml:space="preserve">the genome-reduced </w:t>
      </w:r>
      <w:r w:rsidR="001C2E8C" w:rsidRPr="002A6BF2">
        <w:rPr>
          <w:i/>
          <w:lang w:val="en-US"/>
        </w:rPr>
        <w:t>chassis</w:t>
      </w:r>
      <w:r w:rsidR="001C2E8C" w:rsidRPr="002A6BF2">
        <w:rPr>
          <w:lang w:val="en-US"/>
        </w:rPr>
        <w:t xml:space="preserve"> strains all grew better in the presence of pinosylvin. Strains GRC1 and GRC3 reached the highest final biomass, while GRC2 which constitutively expresses the TtgGHI solvent efflux pump performed slightly worse, indicating that this efflux pump </w:t>
      </w:r>
      <w:r w:rsidR="00B17206" w:rsidRPr="002A6BF2">
        <w:rPr>
          <w:lang w:val="en-US"/>
        </w:rPr>
        <w:t>does not</w:t>
      </w:r>
      <w:r w:rsidR="001C2E8C" w:rsidRPr="002A6BF2">
        <w:rPr>
          <w:lang w:val="en-US"/>
        </w:rPr>
        <w:t xml:space="preserve"> significantly contribute to pinosylvin tolerance. However, this efflux pump might be beneficial for later bioprocess development </w:t>
      </w:r>
      <w:r w:rsidR="003D6A3F" w:rsidRPr="002A6BF2">
        <w:rPr>
          <w:lang w:val="en-US"/>
        </w:rPr>
        <w:t xml:space="preserve">employing </w:t>
      </w:r>
      <w:r w:rsidR="001C2E8C" w:rsidRPr="002A6BF2">
        <w:rPr>
          <w:lang w:val="en-US"/>
        </w:rPr>
        <w:t xml:space="preserve">biphasic cultivations, and therefore GRC3 with an inducible solvent efflux pump was used as a base strain for polyketide synthesis in this study. </w:t>
      </w:r>
    </w:p>
    <w:p w14:paraId="60584C13" w14:textId="41FD8324" w:rsidR="00B07BBA" w:rsidRPr="002A6BF2" w:rsidRDefault="00445A9D" w:rsidP="00B84A00">
      <w:pPr>
        <w:spacing w:line="276" w:lineRule="auto"/>
        <w:jc w:val="both"/>
        <w:rPr>
          <w:lang w:val="en-US"/>
        </w:rPr>
      </w:pPr>
      <w:r w:rsidRPr="002A6BF2">
        <w:rPr>
          <w:lang w:val="en-US"/>
        </w:rPr>
        <w:t>Pinosylvin concentration</w:t>
      </w:r>
      <w:r w:rsidR="00F418BE" w:rsidRPr="002A6BF2">
        <w:rPr>
          <w:lang w:val="en-US"/>
        </w:rPr>
        <w:t>s</w:t>
      </w:r>
      <w:r w:rsidRPr="002A6BF2">
        <w:rPr>
          <w:lang w:val="en-US"/>
        </w:rPr>
        <w:t xml:space="preserve"> decreased during </w:t>
      </w:r>
      <w:r w:rsidR="00564244" w:rsidRPr="002A6BF2">
        <w:rPr>
          <w:lang w:val="en-US"/>
        </w:rPr>
        <w:t xml:space="preserve">the </w:t>
      </w:r>
      <w:r w:rsidRPr="002A6BF2">
        <w:rPr>
          <w:lang w:val="en-US"/>
        </w:rPr>
        <w:t>toxicity</w:t>
      </w:r>
      <w:r w:rsidR="00C80582" w:rsidRPr="002A6BF2">
        <w:rPr>
          <w:lang w:val="en-US"/>
        </w:rPr>
        <w:t xml:space="preserve"> asse</w:t>
      </w:r>
      <w:r w:rsidR="00C70B4B" w:rsidRPr="002A6BF2">
        <w:rPr>
          <w:lang w:val="en-US"/>
        </w:rPr>
        <w:t>s</w:t>
      </w:r>
      <w:r w:rsidR="00C80582" w:rsidRPr="002A6BF2">
        <w:rPr>
          <w:lang w:val="en-US"/>
        </w:rPr>
        <w:t>sment</w:t>
      </w:r>
      <w:r w:rsidRPr="002A6BF2">
        <w:rPr>
          <w:lang w:val="en-US"/>
        </w:rPr>
        <w:t xml:space="preserve"> experiment with</w:t>
      </w:r>
      <w:r w:rsidR="00564244" w:rsidRPr="002A6BF2">
        <w:rPr>
          <w:lang w:val="en-US"/>
        </w:rPr>
        <w:t xml:space="preserve"> only</w:t>
      </w:r>
      <w:r w:rsidRPr="002A6BF2">
        <w:rPr>
          <w:lang w:val="en-US"/>
        </w:rPr>
        <w:t xml:space="preserve"> approximately 30</w:t>
      </w:r>
      <w:r w:rsidR="008D74B6" w:rsidRPr="002A6BF2">
        <w:rPr>
          <w:lang w:val="en-US"/>
        </w:rPr>
        <w:t>-70</w:t>
      </w:r>
      <w:r w:rsidRPr="002A6BF2">
        <w:rPr>
          <w:lang w:val="en-US"/>
        </w:rPr>
        <w:t xml:space="preserve">% remaining after </w:t>
      </w:r>
      <w:r w:rsidR="00564244" w:rsidRPr="002A6BF2">
        <w:rPr>
          <w:lang w:val="en-US"/>
        </w:rPr>
        <w:t xml:space="preserve">four </w:t>
      </w:r>
      <w:r w:rsidRPr="002A6BF2">
        <w:rPr>
          <w:lang w:val="en-US"/>
        </w:rPr>
        <w:t xml:space="preserve">days </w:t>
      </w:r>
      <w:r w:rsidR="0091770D" w:rsidRPr="002A6BF2">
        <w:rPr>
          <w:lang w:val="en-US"/>
        </w:rPr>
        <w:t xml:space="preserve">in </w:t>
      </w:r>
      <w:r w:rsidR="00564244" w:rsidRPr="002A6BF2">
        <w:rPr>
          <w:lang w:val="en-US"/>
        </w:rPr>
        <w:t xml:space="preserve">the </w:t>
      </w:r>
      <w:r w:rsidR="008D74B6" w:rsidRPr="002A6BF2">
        <w:rPr>
          <w:lang w:val="en-US"/>
        </w:rPr>
        <w:t>sterile medium</w:t>
      </w:r>
      <w:r w:rsidRPr="002A6BF2">
        <w:rPr>
          <w:lang w:val="en-US"/>
        </w:rPr>
        <w:t xml:space="preserve"> control</w:t>
      </w:r>
      <w:r w:rsidR="00B7262B" w:rsidRPr="002A6BF2">
        <w:rPr>
          <w:lang w:val="en-US"/>
        </w:rPr>
        <w:t xml:space="preserve"> and in culture supernatants </w:t>
      </w:r>
      <w:r w:rsidRPr="002A6BF2">
        <w:rPr>
          <w:lang w:val="en-US"/>
        </w:rPr>
        <w:t xml:space="preserve">(Supplementary </w:t>
      </w:r>
      <w:r w:rsidR="00325010" w:rsidRPr="002A6BF2">
        <w:rPr>
          <w:lang w:val="en-US"/>
        </w:rPr>
        <w:t>Fig.</w:t>
      </w:r>
      <w:r w:rsidR="00E63524" w:rsidRPr="002A6BF2">
        <w:rPr>
          <w:lang w:val="en-US"/>
        </w:rPr>
        <w:t xml:space="preserve"> </w:t>
      </w:r>
      <w:r w:rsidR="005A6F06" w:rsidRPr="002A6BF2">
        <w:rPr>
          <w:lang w:val="en-US"/>
        </w:rPr>
        <w:t>S</w:t>
      </w:r>
      <w:r w:rsidR="00965039" w:rsidRPr="002A6BF2">
        <w:rPr>
          <w:lang w:val="en-US"/>
        </w:rPr>
        <w:t>8</w:t>
      </w:r>
      <w:r w:rsidRPr="002A6BF2">
        <w:rPr>
          <w:lang w:val="en-US"/>
        </w:rPr>
        <w:t xml:space="preserve">). </w:t>
      </w:r>
      <w:r w:rsidR="005F08AA" w:rsidRPr="002A6BF2">
        <w:rPr>
          <w:lang w:val="en-US"/>
        </w:rPr>
        <w:t>This</w:t>
      </w:r>
      <w:r w:rsidR="00810727" w:rsidRPr="002A6BF2">
        <w:rPr>
          <w:lang w:val="en-US"/>
        </w:rPr>
        <w:t xml:space="preserve"> abiotic</w:t>
      </w:r>
      <w:r w:rsidR="005F08AA" w:rsidRPr="002A6BF2">
        <w:rPr>
          <w:lang w:val="en-US"/>
        </w:rPr>
        <w:t xml:space="preserve"> loss of </w:t>
      </w:r>
      <w:r w:rsidR="00726DD1" w:rsidRPr="002A6BF2">
        <w:rPr>
          <w:lang w:val="en-US"/>
        </w:rPr>
        <w:t>pinosylvin</w:t>
      </w:r>
      <w:r w:rsidR="005F08AA" w:rsidRPr="002A6BF2">
        <w:rPr>
          <w:lang w:val="en-US"/>
        </w:rPr>
        <w:t xml:space="preserve"> is consistent with previous </w:t>
      </w:r>
      <w:r w:rsidR="0043369B" w:rsidRPr="002A6BF2">
        <w:rPr>
          <w:lang w:val="en-US"/>
        </w:rPr>
        <w:t xml:space="preserve">reports of </w:t>
      </w:r>
      <w:r w:rsidR="005F08AA" w:rsidRPr="002A6BF2">
        <w:rPr>
          <w:lang w:val="en-US"/>
        </w:rPr>
        <w:t>resveratrol</w:t>
      </w:r>
      <w:r w:rsidR="00726DD1" w:rsidRPr="002A6BF2">
        <w:rPr>
          <w:lang w:val="en-US"/>
        </w:rPr>
        <w:t xml:space="preserve"> instability </w:t>
      </w:r>
      <w:r w:rsidR="00B61410" w:rsidRPr="002A6BF2">
        <w:rPr>
          <w:lang w:val="en-US"/>
        </w:rPr>
        <w:t>under</w:t>
      </w:r>
      <w:r w:rsidR="00726DD1" w:rsidRPr="002A6BF2">
        <w:rPr>
          <w:lang w:val="en-US"/>
        </w:rPr>
        <w:t xml:space="preserve"> aerobic conditions</w:t>
      </w:r>
      <w:r w:rsidR="005F08AA" w:rsidRPr="002A6BF2">
        <w:rPr>
          <w:lang w:val="en-US"/>
        </w:rPr>
        <w:t xml:space="preserve"> </w:t>
      </w:r>
      <w:r w:rsidR="005F08AA" w:rsidRPr="002A6BF2">
        <w:rPr>
          <w:lang w:val="en-US"/>
        </w:rPr>
        <w:fldChar w:fldCharType="begin" w:fldLock="1"/>
      </w:r>
      <w:r w:rsidR="001468EC" w:rsidRPr="002A6BF2">
        <w:rPr>
          <w:lang w:val="en-US"/>
        </w:rPr>
        <w:instrText>ADDIN CSL_CITATION {"citationItems":[{"id":"ITEM-1","itemData":{"DOI":"10.1016/j.jbiotec.2017.11.006","ISSN":"18734863","abstract":"The health benefits of polyphenols such as stilbenes and flavonoids for humans are increasingly attracting attention. Resveratrol is a well-characterized naturally-occurring stilbene and potent anti-oxidant, which is used as food supplement and cosmetic ingredient. Several microorganisms including Corynebacterium glutamicum were engineered for resveratrol production from glucose. Based on the cultivation of a resveratrol-producing C. glutamicum strain in shake flasks, different strategies for improving production under controlled conditions at bioreactor scale were tested. To this end, different cultivation parameters including substrate concentration and operation modes (batch and fed-batch) were evaluated. Whereas the highest biomass concentration was observed during fed-batch fermentation, the maximum resveratrol production was achieved in batch mode. The maximal titer obtained was 12 mg L−1 of resveratrol without the addition of the fatty acid synthase inhibitor cerulenin, which was previously shown to be crucial for production with C. glutamicum. The specific growth rate during production seems to have a significant effect in resveratrol production and apparently low specific growth rates may redirect the metabolic bottleneck from p-coumaric acid formation to malonyl-CoA or ATP availability. We also show that high oxygen concentrations in the bioreactor negatively affected the obtained resveratrol titers with C. glutamicum, which is most likely due to the strong tendency of resveratrol to oxidize or oligomerize. Thus, up-scaling of the resveratrol production process is technically challenging and individual process parameters have to be optimized cautiously.","author":[{"dropping-particle":"","family":"Braga","given":"Adelaide","non-dropping-particle":"","parse-names":false,"suffix":""},{"dropping-particle":"","family":"Oliveira","given":"Joana","non-dropping-particle":"","parse-names":false,"suffix":""},{"dropping-particle":"","family":"Silva","given":"Rita","non-dropping-particle":"","parse-names":false,"suffix":""},{"dropping-particle":"","family":"Ferreira","given":"Patricia","non-dropping-particle":"","parse-names":false,"suffix":""},{"dropping-particle":"","family":"Rocha","given":"Isabel","non-dropping-particle":"","parse-names":false,"suffix":""},{"dropping-particle":"","family":"Kallscheuer","given":"Nicolai","non-dropping-particle":"","parse-names":false,"suffix":""},{"dropping-particle":"","family":"Marienhagen","given":"Jan","non-dropping-particle":"","parse-names":false,"suffix":""},{"dropping-particle":"","family":"Faria","given":"Nuno","non-dropping-particle":"","parse-names":false,"suffix":""}],"container-title":"Journal of Biotechnology","id":"ITEM-1","issue":"July 2017","issued":{"date-parts":[["2018"]]},"page":"70-75","publisher":"Elsevier","title":"Impact of the cultivation strategy on resveratrol production from glucose in engineered &lt;i&gt;Corynebacterium glutamicum&lt;/i&gt;","type":"article-journal","volume":"265"},"uris":["http://www.mendeley.com/documents/?uuid=1dd36115-5eec-4bab-8b75-a83a35161e9b"]}],"mendeley":{"formattedCitation":"(Braga et al., 2018)","plainTextFormattedCitation":"(Braga et al., 2018)","previouslyFormattedCitation":"(Braga et al., 2018)"},"properties":{"noteIndex":0},"schema":"https://github.com/citation-style-language/schema/raw/master/csl-citation.json"}</w:instrText>
      </w:r>
      <w:r w:rsidR="005F08AA" w:rsidRPr="002A6BF2">
        <w:rPr>
          <w:lang w:val="en-US"/>
        </w:rPr>
        <w:fldChar w:fldCharType="separate"/>
      </w:r>
      <w:r w:rsidR="001468EC" w:rsidRPr="002A6BF2">
        <w:rPr>
          <w:noProof/>
          <w:lang w:val="en-US"/>
        </w:rPr>
        <w:t>(Braga et al., 2018)</w:t>
      </w:r>
      <w:r w:rsidR="005F08AA" w:rsidRPr="002A6BF2">
        <w:rPr>
          <w:lang w:val="en-US"/>
        </w:rPr>
        <w:fldChar w:fldCharType="end"/>
      </w:r>
      <w:r w:rsidR="00F418BE" w:rsidRPr="002A6BF2">
        <w:rPr>
          <w:lang w:val="en-US"/>
        </w:rPr>
        <w:t>.</w:t>
      </w:r>
      <w:r w:rsidR="005F08AA" w:rsidRPr="002A6BF2">
        <w:rPr>
          <w:lang w:val="en-US"/>
        </w:rPr>
        <w:t xml:space="preserve"> </w:t>
      </w:r>
      <w:r w:rsidR="00F418BE" w:rsidRPr="002A6BF2">
        <w:rPr>
          <w:lang w:val="en-US"/>
        </w:rPr>
        <w:t xml:space="preserve">It is strongly affected by a variety of experimental parameters, thus highlighting </w:t>
      </w:r>
      <w:r w:rsidR="005F08AA" w:rsidRPr="002A6BF2">
        <w:rPr>
          <w:lang w:val="en-US"/>
        </w:rPr>
        <w:t xml:space="preserve">the importance of </w:t>
      </w:r>
      <w:r w:rsidR="008D74B6" w:rsidRPr="002A6BF2">
        <w:rPr>
          <w:lang w:val="en-US"/>
        </w:rPr>
        <w:t>reference cultivations</w:t>
      </w:r>
      <w:r w:rsidR="00726DD1" w:rsidRPr="002A6BF2">
        <w:rPr>
          <w:lang w:val="en-US"/>
        </w:rPr>
        <w:t xml:space="preserve"> in each </w:t>
      </w:r>
      <w:r w:rsidR="008D74B6" w:rsidRPr="002A6BF2">
        <w:rPr>
          <w:lang w:val="en-US"/>
        </w:rPr>
        <w:t>experiment</w:t>
      </w:r>
      <w:r w:rsidR="005F08AA" w:rsidRPr="002A6BF2">
        <w:rPr>
          <w:lang w:val="en-US"/>
        </w:rPr>
        <w:t xml:space="preserve"> in the following sections</w:t>
      </w:r>
      <w:r w:rsidR="00316B13" w:rsidRPr="002A6BF2">
        <w:rPr>
          <w:lang w:val="en-US"/>
        </w:rPr>
        <w:t xml:space="preserve"> because varying cultivation times</w:t>
      </w:r>
      <w:r w:rsidR="00F46166" w:rsidRPr="002A6BF2">
        <w:rPr>
          <w:lang w:val="en-US"/>
        </w:rPr>
        <w:t xml:space="preserve"> and applied biomasses</w:t>
      </w:r>
      <w:r w:rsidR="00316B13" w:rsidRPr="002A6BF2">
        <w:rPr>
          <w:lang w:val="en-US"/>
        </w:rPr>
        <w:t xml:space="preserve"> will affect the final pinosylvin concentration</w:t>
      </w:r>
      <w:r w:rsidR="005F08AA" w:rsidRPr="002A6BF2">
        <w:rPr>
          <w:lang w:val="en-US"/>
        </w:rPr>
        <w:t>.</w:t>
      </w:r>
      <w:r w:rsidR="00B569C4" w:rsidRPr="002A6BF2">
        <w:rPr>
          <w:lang w:val="en-US"/>
        </w:rPr>
        <w:t xml:space="preserve"> Prospectively, stabilization of the product by e.g. </w:t>
      </w:r>
      <w:r w:rsidR="00B569C4" w:rsidRPr="002A6BF2">
        <w:rPr>
          <w:i/>
          <w:lang w:val="en-US"/>
        </w:rPr>
        <w:t>in situ</w:t>
      </w:r>
      <w:r w:rsidR="00B569C4" w:rsidRPr="002A6BF2">
        <w:rPr>
          <w:lang w:val="en-US"/>
        </w:rPr>
        <w:t xml:space="preserve"> extraction might be an option.</w:t>
      </w:r>
    </w:p>
    <w:p w14:paraId="38AFFAD2" w14:textId="0622055F" w:rsidR="00657B38" w:rsidRPr="002A6BF2" w:rsidRDefault="00657B38" w:rsidP="00B84A00">
      <w:pPr>
        <w:spacing w:line="276" w:lineRule="auto"/>
        <w:jc w:val="both"/>
        <w:rPr>
          <w:lang w:val="en-US"/>
        </w:rPr>
      </w:pPr>
    </w:p>
    <w:p w14:paraId="1F10E3A9" w14:textId="4A40C899" w:rsidR="00657B38" w:rsidRPr="002A6BF2" w:rsidRDefault="008F58EE" w:rsidP="00B84A00">
      <w:pPr>
        <w:spacing w:line="276" w:lineRule="auto"/>
        <w:jc w:val="both"/>
        <w:rPr>
          <w:lang w:val="en-US"/>
        </w:rPr>
      </w:pPr>
      <w:r w:rsidRPr="002A6BF2">
        <w:rPr>
          <w:noProof/>
          <w:lang w:eastAsia="de-DE"/>
        </w:rPr>
        <w:lastRenderedPageBreak/>
        <w:drawing>
          <wp:inline distT="0" distB="0" distL="0" distR="0" wp14:anchorId="62EB14DB" wp14:editId="5600F842">
            <wp:extent cx="5760720" cy="392992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929928"/>
                    </a:xfrm>
                    <a:prstGeom prst="rect">
                      <a:avLst/>
                    </a:prstGeom>
                    <a:noFill/>
                    <a:ln>
                      <a:noFill/>
                    </a:ln>
                  </pic:spPr>
                </pic:pic>
              </a:graphicData>
            </a:graphic>
          </wp:inline>
        </w:drawing>
      </w:r>
    </w:p>
    <w:p w14:paraId="366B5D6E" w14:textId="111DF7B2" w:rsidR="00D938AC" w:rsidRPr="002A6BF2" w:rsidRDefault="00325010" w:rsidP="00B84A00">
      <w:pPr>
        <w:spacing w:line="276" w:lineRule="auto"/>
        <w:jc w:val="both"/>
        <w:rPr>
          <w:lang w:val="en-US"/>
        </w:rPr>
      </w:pPr>
      <w:r w:rsidRPr="002A6BF2">
        <w:rPr>
          <w:lang w:val="en-US"/>
        </w:rPr>
        <w:t>Fig.</w:t>
      </w:r>
      <w:r w:rsidR="00677E1C" w:rsidRPr="002A6BF2">
        <w:rPr>
          <w:lang w:val="en-US"/>
        </w:rPr>
        <w:t xml:space="preserve"> </w:t>
      </w:r>
      <w:r w:rsidR="00DC53B8" w:rsidRPr="002A6BF2">
        <w:rPr>
          <w:lang w:val="en-US"/>
        </w:rPr>
        <w:t>2</w:t>
      </w:r>
      <w:r w:rsidR="00381285" w:rsidRPr="002A6BF2">
        <w:rPr>
          <w:lang w:val="en-US"/>
        </w:rPr>
        <w:t xml:space="preserve"> Growth of </w:t>
      </w:r>
      <w:r w:rsidR="00381285" w:rsidRPr="002A6BF2">
        <w:rPr>
          <w:i/>
          <w:lang w:val="en-US"/>
        </w:rPr>
        <w:t>E. coli</w:t>
      </w:r>
      <w:r w:rsidR="00381285" w:rsidRPr="002A6BF2">
        <w:rPr>
          <w:lang w:val="en-US"/>
        </w:rPr>
        <w:t xml:space="preserve"> BL21 (DE3) (A) and </w:t>
      </w:r>
      <w:r w:rsidR="00381285" w:rsidRPr="002A6BF2">
        <w:rPr>
          <w:i/>
          <w:lang w:val="en-US"/>
        </w:rPr>
        <w:t>P. taiwanensis</w:t>
      </w:r>
      <w:r w:rsidR="00381285" w:rsidRPr="002A6BF2">
        <w:rPr>
          <w:lang w:val="en-US"/>
        </w:rPr>
        <w:t xml:space="preserve"> VLB120 </w:t>
      </w:r>
      <w:r w:rsidR="00080448" w:rsidRPr="002A6BF2">
        <w:rPr>
          <w:lang w:val="en-US"/>
        </w:rPr>
        <w:t xml:space="preserve">(B) </w:t>
      </w:r>
      <w:r w:rsidR="00381285" w:rsidRPr="002A6BF2">
        <w:rPr>
          <w:lang w:val="en-US"/>
        </w:rPr>
        <w:t xml:space="preserve">in presence of </w:t>
      </w:r>
      <w:r w:rsidR="003675AB" w:rsidRPr="002A6BF2">
        <w:rPr>
          <w:lang w:val="en-US"/>
        </w:rPr>
        <w:t xml:space="preserve">increasing </w:t>
      </w:r>
      <w:r w:rsidR="00381285" w:rsidRPr="002A6BF2">
        <w:rPr>
          <w:lang w:val="en-US"/>
        </w:rPr>
        <w:t>concentrations of pinosylvin</w:t>
      </w:r>
      <w:r w:rsidR="003675AB" w:rsidRPr="002A6BF2">
        <w:rPr>
          <w:lang w:val="en-US"/>
        </w:rPr>
        <w:t>;</w:t>
      </w:r>
      <w:r w:rsidR="003E56FB" w:rsidRPr="002A6BF2">
        <w:rPr>
          <w:lang w:val="en-US"/>
        </w:rPr>
        <w:t xml:space="preserve"> and</w:t>
      </w:r>
      <w:r w:rsidR="00F44981" w:rsidRPr="002A6BF2">
        <w:rPr>
          <w:lang w:val="en-US"/>
        </w:rPr>
        <w:t xml:space="preserve"> genome-reduced</w:t>
      </w:r>
      <w:r w:rsidR="00727E8B" w:rsidRPr="002A6BF2">
        <w:rPr>
          <w:lang w:val="en-US"/>
        </w:rPr>
        <w:t xml:space="preserve"> </w:t>
      </w:r>
      <w:r w:rsidR="00381285" w:rsidRPr="002A6BF2">
        <w:rPr>
          <w:i/>
          <w:lang w:val="en-US"/>
        </w:rPr>
        <w:t>chassis</w:t>
      </w:r>
      <w:r w:rsidR="00727E8B" w:rsidRPr="002A6BF2">
        <w:rPr>
          <w:lang w:val="en-US"/>
        </w:rPr>
        <w:t xml:space="preserve"> strains</w:t>
      </w:r>
      <w:r w:rsidR="00381285" w:rsidRPr="002A6BF2">
        <w:rPr>
          <w:lang w:val="en-US"/>
        </w:rPr>
        <w:t xml:space="preserve"> </w:t>
      </w:r>
      <w:r w:rsidR="00727E8B" w:rsidRPr="002A6BF2">
        <w:rPr>
          <w:lang w:val="en-US"/>
        </w:rPr>
        <w:t>GRC</w:t>
      </w:r>
      <w:r w:rsidR="00381285" w:rsidRPr="002A6BF2">
        <w:rPr>
          <w:lang w:val="en-US"/>
        </w:rPr>
        <w:t xml:space="preserve">1, </w:t>
      </w:r>
      <w:r w:rsidR="00727E8B" w:rsidRPr="002A6BF2">
        <w:rPr>
          <w:lang w:val="en-US"/>
        </w:rPr>
        <w:t>GRC</w:t>
      </w:r>
      <w:r w:rsidR="00381285" w:rsidRPr="002A6BF2">
        <w:rPr>
          <w:lang w:val="en-US"/>
        </w:rPr>
        <w:t xml:space="preserve">2 and </w:t>
      </w:r>
      <w:r w:rsidR="00727E8B" w:rsidRPr="002A6BF2">
        <w:rPr>
          <w:lang w:val="en-US"/>
        </w:rPr>
        <w:t>GRC</w:t>
      </w:r>
      <w:r w:rsidR="00381285" w:rsidRPr="002A6BF2">
        <w:rPr>
          <w:lang w:val="en-US"/>
        </w:rPr>
        <w:t xml:space="preserve">3 </w:t>
      </w:r>
      <w:r w:rsidR="003E56FB" w:rsidRPr="002A6BF2">
        <w:rPr>
          <w:lang w:val="en-US"/>
        </w:rPr>
        <w:t xml:space="preserve">in presence of </w:t>
      </w:r>
      <w:r w:rsidR="00381285" w:rsidRPr="002A6BF2">
        <w:rPr>
          <w:lang w:val="en-US"/>
        </w:rPr>
        <w:t>100 mg L</w:t>
      </w:r>
      <w:r w:rsidR="00381285" w:rsidRPr="002A6BF2">
        <w:rPr>
          <w:vertAlign w:val="superscript"/>
          <w:lang w:val="en-US"/>
        </w:rPr>
        <w:t>-1</w:t>
      </w:r>
      <w:r w:rsidR="00381285" w:rsidRPr="002A6BF2">
        <w:rPr>
          <w:lang w:val="en-US"/>
        </w:rPr>
        <w:t xml:space="preserve"> (C) and 150 mg L</w:t>
      </w:r>
      <w:r w:rsidR="00381285" w:rsidRPr="002A6BF2">
        <w:rPr>
          <w:vertAlign w:val="superscript"/>
          <w:lang w:val="en-US"/>
        </w:rPr>
        <w:t>-1</w:t>
      </w:r>
      <w:r w:rsidR="00381285" w:rsidRPr="002A6BF2">
        <w:rPr>
          <w:lang w:val="en-US"/>
        </w:rPr>
        <w:t xml:space="preserve"> pinosylvin (D)</w:t>
      </w:r>
      <w:r w:rsidR="003E56FB" w:rsidRPr="002A6BF2">
        <w:rPr>
          <w:lang w:val="en-US"/>
        </w:rPr>
        <w:t xml:space="preserve"> in MSM with 20 mM glucose in 96-square half deepwell plates in the Growth Profiler</w:t>
      </w:r>
      <w:r w:rsidR="00381285" w:rsidRPr="002A6BF2">
        <w:rPr>
          <w:lang w:val="en-US"/>
        </w:rPr>
        <w:t>.</w:t>
      </w:r>
      <w:r w:rsidR="00C80582" w:rsidRPr="002A6BF2">
        <w:rPr>
          <w:lang w:val="en-US"/>
        </w:rPr>
        <w:t xml:space="preserve"> The corresponding cultures of </w:t>
      </w:r>
      <w:r w:rsidR="00C80582" w:rsidRPr="002A6BF2">
        <w:rPr>
          <w:i/>
          <w:lang w:val="en-US"/>
        </w:rPr>
        <w:t>E. coli</w:t>
      </w:r>
      <w:r w:rsidR="00C80582" w:rsidRPr="002A6BF2">
        <w:rPr>
          <w:lang w:val="en-US"/>
        </w:rPr>
        <w:t xml:space="preserve"> BL21, </w:t>
      </w:r>
      <w:r w:rsidR="00C80582" w:rsidRPr="002A6BF2">
        <w:rPr>
          <w:i/>
          <w:lang w:val="en-US"/>
        </w:rPr>
        <w:t>P. taiwanensis</w:t>
      </w:r>
      <w:r w:rsidR="00C80582" w:rsidRPr="002A6BF2">
        <w:rPr>
          <w:lang w:val="en-US"/>
        </w:rPr>
        <w:t xml:space="preserve"> VLB120 wild</w:t>
      </w:r>
      <w:r w:rsidR="007F5EB6" w:rsidRPr="002A6BF2">
        <w:rPr>
          <w:lang w:val="en-US"/>
        </w:rPr>
        <w:t>-</w:t>
      </w:r>
      <w:r w:rsidR="00C80582" w:rsidRPr="002A6BF2">
        <w:rPr>
          <w:lang w:val="en-US"/>
        </w:rPr>
        <w:t>type are included in C and D</w:t>
      </w:r>
      <w:r w:rsidR="002124CD" w:rsidRPr="002A6BF2">
        <w:rPr>
          <w:lang w:val="en-US"/>
        </w:rPr>
        <w:t xml:space="preserve"> </w:t>
      </w:r>
      <w:r w:rsidR="00C80582" w:rsidRPr="002A6BF2">
        <w:rPr>
          <w:lang w:val="en-US"/>
        </w:rPr>
        <w:t xml:space="preserve">for comparison. </w:t>
      </w:r>
      <w:r w:rsidR="00E85791" w:rsidRPr="002A6BF2">
        <w:rPr>
          <w:lang w:val="en-US"/>
        </w:rPr>
        <w:t>E</w:t>
      </w:r>
      <w:r w:rsidR="003E56FB" w:rsidRPr="002A6BF2">
        <w:rPr>
          <w:lang w:val="en-US"/>
        </w:rPr>
        <w:t xml:space="preserve">rror bars indicate the standard </w:t>
      </w:r>
      <w:r w:rsidR="003675AB" w:rsidRPr="002A6BF2">
        <w:rPr>
          <w:lang w:val="en-US"/>
        </w:rPr>
        <w:t>deviation</w:t>
      </w:r>
      <w:r w:rsidR="003E56FB" w:rsidRPr="002A6BF2">
        <w:rPr>
          <w:lang w:val="en-US"/>
        </w:rPr>
        <w:t xml:space="preserve"> (n=3).</w:t>
      </w:r>
    </w:p>
    <w:p w14:paraId="73EBD611" w14:textId="3E11269A" w:rsidR="00677E1C" w:rsidRPr="002A6BF2" w:rsidRDefault="00677E1C" w:rsidP="00B84A00">
      <w:pPr>
        <w:spacing w:line="276" w:lineRule="auto"/>
        <w:jc w:val="both"/>
        <w:rPr>
          <w:lang w:val="en-US"/>
        </w:rPr>
      </w:pPr>
    </w:p>
    <w:p w14:paraId="58FB166A" w14:textId="23F1037F" w:rsidR="008D563E" w:rsidRPr="002A6BF2" w:rsidRDefault="00677E1C" w:rsidP="00B84A00">
      <w:pPr>
        <w:pStyle w:val="berschrift2"/>
        <w:numPr>
          <w:ilvl w:val="1"/>
          <w:numId w:val="11"/>
        </w:numPr>
        <w:spacing w:line="276" w:lineRule="auto"/>
        <w:rPr>
          <w:lang w:val="en-US"/>
        </w:rPr>
      </w:pPr>
      <w:r w:rsidRPr="002A6BF2">
        <w:rPr>
          <w:lang w:val="en-US"/>
        </w:rPr>
        <w:t>Conversion of a phenylalanine platform strain into a pinosylvin producer</w:t>
      </w:r>
    </w:p>
    <w:p w14:paraId="30E45EEA" w14:textId="39057340" w:rsidR="00FC7350" w:rsidRPr="002A6BF2" w:rsidRDefault="001B78A9" w:rsidP="00B84A00">
      <w:pPr>
        <w:spacing w:line="276" w:lineRule="auto"/>
        <w:jc w:val="both"/>
        <w:rPr>
          <w:lang w:val="en-US"/>
        </w:rPr>
      </w:pPr>
      <w:r w:rsidRPr="002A6BF2">
        <w:rPr>
          <w:lang w:val="en-US"/>
        </w:rPr>
        <w:t xml:space="preserve">We previously engineered a </w:t>
      </w:r>
      <w:r w:rsidRPr="002A6BF2">
        <w:rPr>
          <w:i/>
          <w:lang w:val="en-US"/>
        </w:rPr>
        <w:t xml:space="preserve">P. taiwanensis </w:t>
      </w:r>
      <w:r w:rsidR="00726DD1" w:rsidRPr="002A6BF2">
        <w:rPr>
          <w:lang w:val="en-US"/>
        </w:rPr>
        <w:t>phenylalanine</w:t>
      </w:r>
      <w:r w:rsidR="00EF2982" w:rsidRPr="002A6BF2">
        <w:rPr>
          <w:lang w:val="en-US"/>
        </w:rPr>
        <w:t xml:space="preserve"> </w:t>
      </w:r>
      <w:r w:rsidR="00D061E3" w:rsidRPr="002A6BF2">
        <w:rPr>
          <w:lang w:val="en-US"/>
        </w:rPr>
        <w:t>platform</w:t>
      </w:r>
      <w:r w:rsidR="00EF2982" w:rsidRPr="002A6BF2">
        <w:rPr>
          <w:lang w:val="en-US"/>
        </w:rPr>
        <w:t xml:space="preserve"> </w:t>
      </w:r>
      <w:r w:rsidR="00726DD1" w:rsidRPr="002A6BF2">
        <w:rPr>
          <w:lang w:val="en-US"/>
        </w:rPr>
        <w:t>strain</w:t>
      </w:r>
      <w:r w:rsidR="00281B42" w:rsidRPr="002A6BF2">
        <w:rPr>
          <w:lang w:val="en-US"/>
        </w:rPr>
        <w:t xml:space="preserve"> (</w:t>
      </w:r>
      <w:r w:rsidR="009E58BD" w:rsidRPr="002A6BF2">
        <w:rPr>
          <w:lang w:val="en-US"/>
        </w:rPr>
        <w:t xml:space="preserve">GRC3 </w:t>
      </w:r>
      <w:r w:rsidR="009E58BD" w:rsidRPr="002A6BF2">
        <w:rPr>
          <w:rFonts w:cstheme="minorHAnsi"/>
          <w:lang w:val="en-US"/>
        </w:rPr>
        <w:t>Δ</w:t>
      </w:r>
      <w:r w:rsidR="009E58BD" w:rsidRPr="002A6BF2">
        <w:rPr>
          <w:lang w:val="en-US"/>
        </w:rPr>
        <w:t>8</w:t>
      </w:r>
      <w:r w:rsidR="009E58BD" w:rsidRPr="002A6BF2">
        <w:rPr>
          <w:rFonts w:cstheme="minorHAnsi"/>
          <w:lang w:val="en-US"/>
        </w:rPr>
        <w:t>Δ</w:t>
      </w:r>
      <w:r w:rsidR="009E58BD" w:rsidRPr="002A6BF2">
        <w:rPr>
          <w:i/>
          <w:lang w:val="en-US"/>
        </w:rPr>
        <w:t>pykA</w:t>
      </w:r>
      <w:r w:rsidR="009E58BD" w:rsidRPr="002A6BF2">
        <w:rPr>
          <w:lang w:val="en-US"/>
        </w:rPr>
        <w:t xml:space="preserve">-tap; here called </w:t>
      </w:r>
      <w:r w:rsidR="00D95DDB" w:rsidRPr="002A6BF2">
        <w:rPr>
          <w:lang w:val="en-US"/>
        </w:rPr>
        <w:t xml:space="preserve">GRC3 </w:t>
      </w:r>
      <w:r w:rsidR="00281B42" w:rsidRPr="002A6BF2">
        <w:rPr>
          <w:lang w:val="en-US"/>
        </w:rPr>
        <w:t>PHE)</w:t>
      </w:r>
      <w:r w:rsidR="00726DD1" w:rsidRPr="002A6BF2">
        <w:rPr>
          <w:lang w:val="en-US"/>
        </w:rPr>
        <w:t xml:space="preserve"> </w:t>
      </w:r>
      <w:r w:rsidRPr="002A6BF2">
        <w:rPr>
          <w:lang w:val="en-US"/>
        </w:rPr>
        <w:t xml:space="preserve">with multiple modifications of the shikimate pathway, </w:t>
      </w:r>
      <w:r w:rsidR="00726DD1" w:rsidRPr="002A6BF2">
        <w:rPr>
          <w:lang w:val="en-US"/>
        </w:rPr>
        <w:t xml:space="preserve">producing </w:t>
      </w:r>
      <w:r w:rsidR="00F94299" w:rsidRPr="002A6BF2">
        <w:rPr>
          <w:lang w:val="en-US"/>
        </w:rPr>
        <w:t>2.6</w:t>
      </w:r>
      <w:r w:rsidR="00726DD1" w:rsidRPr="002A6BF2">
        <w:rPr>
          <w:lang w:val="en-US"/>
        </w:rPr>
        <w:t xml:space="preserve"> mM phenylalanine from 20 mM glucose</w:t>
      </w:r>
      <w:r w:rsidR="00F94299" w:rsidRPr="002A6BF2">
        <w:rPr>
          <w:lang w:val="en-US"/>
        </w:rPr>
        <w:t xml:space="preserve"> or</w:t>
      </w:r>
      <w:r w:rsidR="00726DD1" w:rsidRPr="002A6BF2">
        <w:rPr>
          <w:lang w:val="en-US"/>
        </w:rPr>
        <w:t xml:space="preserve"> </w:t>
      </w:r>
      <w:r w:rsidR="00F94299" w:rsidRPr="002A6BF2">
        <w:rPr>
          <w:lang w:val="en-US"/>
        </w:rPr>
        <w:t>3.3 ± 0.07</w:t>
      </w:r>
      <w:r w:rsidR="00D061E3" w:rsidRPr="002A6BF2">
        <w:rPr>
          <w:lang w:val="en-US"/>
        </w:rPr>
        <w:t> </w:t>
      </w:r>
      <w:r w:rsidR="00726DD1" w:rsidRPr="002A6BF2">
        <w:rPr>
          <w:lang w:val="en-US"/>
        </w:rPr>
        <w:t>mM cinnamate</w:t>
      </w:r>
      <w:r w:rsidR="00F94299" w:rsidRPr="002A6BF2">
        <w:rPr>
          <w:lang w:val="en-US"/>
        </w:rPr>
        <w:t xml:space="preserve"> (22.8% Cmol Cmol</w:t>
      </w:r>
      <w:r w:rsidR="00F94299" w:rsidRPr="002A6BF2">
        <w:rPr>
          <w:vertAlign w:val="superscript"/>
          <w:lang w:val="en-US"/>
        </w:rPr>
        <w:t>−1</w:t>
      </w:r>
      <w:r w:rsidR="00F94299" w:rsidRPr="002A6BF2">
        <w:rPr>
          <w:lang w:val="en-US"/>
        </w:rPr>
        <w:t xml:space="preserve">) when equipped with </w:t>
      </w:r>
      <w:r w:rsidR="00F211EE" w:rsidRPr="002A6BF2">
        <w:rPr>
          <w:lang w:val="en-US"/>
        </w:rPr>
        <w:lastRenderedPageBreak/>
        <w:t xml:space="preserve">phenylalanine </w:t>
      </w:r>
      <w:r w:rsidR="008E05E3" w:rsidRPr="002A6BF2">
        <w:rPr>
          <w:lang w:val="en-US"/>
        </w:rPr>
        <w:t>ammonia-</w:t>
      </w:r>
      <w:r w:rsidR="00F211EE" w:rsidRPr="002A6BF2">
        <w:rPr>
          <w:lang w:val="en-US"/>
        </w:rPr>
        <w:t xml:space="preserve">lyase </w:t>
      </w:r>
      <w:r w:rsidR="008E05E3" w:rsidRPr="002A6BF2">
        <w:rPr>
          <w:lang w:val="en-US"/>
        </w:rPr>
        <w:t xml:space="preserve">from </w:t>
      </w:r>
      <w:r w:rsidR="008E05E3" w:rsidRPr="002A6BF2">
        <w:rPr>
          <w:i/>
          <w:lang w:val="en-US"/>
        </w:rPr>
        <w:t xml:space="preserve">Arabidopsis thaliana </w:t>
      </w:r>
      <w:r w:rsidR="00F211EE" w:rsidRPr="002A6BF2">
        <w:rPr>
          <w:lang w:val="en-US"/>
        </w:rPr>
        <w:t>(</w:t>
      </w:r>
      <w:r w:rsidR="008E05E3" w:rsidRPr="002A6BF2">
        <w:rPr>
          <w:lang w:val="en-US"/>
        </w:rPr>
        <w:t>At</w:t>
      </w:r>
      <w:r w:rsidR="00F211EE" w:rsidRPr="002A6BF2">
        <w:rPr>
          <w:lang w:val="en-US"/>
        </w:rPr>
        <w:t>PAL</w:t>
      </w:r>
      <w:r w:rsidR="008E05E3" w:rsidRPr="002A6BF2">
        <w:rPr>
          <w:lang w:val="en-US"/>
        </w:rPr>
        <w:t>2</w:t>
      </w:r>
      <w:r w:rsidR="00F211EE" w:rsidRPr="002A6BF2">
        <w:rPr>
          <w:lang w:val="en-US"/>
        </w:rPr>
        <w:t xml:space="preserve">) </w:t>
      </w:r>
      <w:r w:rsidR="006B0EFD" w:rsidRPr="002A6BF2">
        <w:rPr>
          <w:lang w:val="en-US"/>
        </w:rPr>
        <w:fldChar w:fldCharType="begin" w:fldLock="1"/>
      </w:r>
      <w:r w:rsidR="00675192" w:rsidRPr="002A6BF2">
        <w:rPr>
          <w:lang w:val="en-US"/>
        </w:rPr>
        <w:instrText>ADDIN CSL_CITATION {"citationItems":[{"id":"ITEM-1","itemData":{"author":[{"dropping-particle":"","family":"Otto","given":"Maike","non-dropping-particle":"","parse-names":false,"suffix":""},{"dropping-particle":"","family":"Wynands","given":"Benedikt","non-dropping-particle":"","parse-names":false,"suffix":""},{"dropping-particle":"","family":"Lenzen","given":"Christoph","non-dropping-particle":"","parse-names":false,"suffix":""},{"dropping-particle":"","family":"Filbig","given":"Melanie","non-dropping-particle":"","parse-names":false,"suffix":""},{"dropping-particle":"","family":"Blank","given":"Lars M.","non-dropping-particle":"","parse-names":false,"suffix":""},{"dropping-particle":"","family":"Wierckx","given":"Nick","non-dropping-particle":"","parse-names":false,"suffix":""}],"container-title":"Frontiers in Bioengineering and Biotechnology","id":"ITEM-1","issue":"312","issued":{"date-parts":[["2019"]]},"title":"Rational Engineering of Phenylalanine Accumulation in &lt;i&gt;Pseudomonas taiwanensis&lt;/i&gt; to Enable High-Yield Production of &lt;i&gt;Trans&lt;/i&gt;-cinnamate","type":"article-journal","volume":"7"},"uris":["http://www.mendeley.com/documents/?uuid=cc52d9b6-c3a4-4b3e-8064-c01f80200ec1"]}],"mendeley":{"formattedCitation":"(Otto et al., 2019)","plainTextFormattedCitation":"(Otto et al., 2019)","previouslyFormattedCitation":"(Otto et al., 2019)"},"properties":{"noteIndex":0},"schema":"https://github.com/citation-style-language/schema/raw/master/csl-citation.json"}</w:instrText>
      </w:r>
      <w:r w:rsidR="006B0EFD" w:rsidRPr="002A6BF2">
        <w:rPr>
          <w:lang w:val="en-US"/>
        </w:rPr>
        <w:fldChar w:fldCharType="separate"/>
      </w:r>
      <w:r w:rsidR="00B255F3" w:rsidRPr="002A6BF2">
        <w:rPr>
          <w:noProof/>
          <w:lang w:val="en-US"/>
        </w:rPr>
        <w:t>(Otto et al., 2019)</w:t>
      </w:r>
      <w:r w:rsidR="006B0EFD" w:rsidRPr="002A6BF2">
        <w:rPr>
          <w:lang w:val="en-US"/>
        </w:rPr>
        <w:fldChar w:fldCharType="end"/>
      </w:r>
      <w:r w:rsidR="00F94299" w:rsidRPr="002A6BF2">
        <w:rPr>
          <w:lang w:val="en-US"/>
        </w:rPr>
        <w:t>.</w:t>
      </w:r>
      <w:r w:rsidR="00D061E3" w:rsidRPr="002A6BF2">
        <w:rPr>
          <w:lang w:val="en-US"/>
        </w:rPr>
        <w:t xml:space="preserve"> </w:t>
      </w:r>
      <w:r w:rsidR="00F211EE" w:rsidRPr="002A6BF2">
        <w:rPr>
          <w:lang w:val="en-US"/>
        </w:rPr>
        <w:t>Pinosylvin synthesis from phenylalanine</w:t>
      </w:r>
      <w:r w:rsidR="00EB5EAD" w:rsidRPr="002A6BF2">
        <w:rPr>
          <w:lang w:val="en-US"/>
        </w:rPr>
        <w:t xml:space="preserve"> </w:t>
      </w:r>
      <w:r w:rsidR="00A173FC" w:rsidRPr="002A6BF2">
        <w:rPr>
          <w:lang w:val="en-US"/>
        </w:rPr>
        <w:t xml:space="preserve">requires </w:t>
      </w:r>
      <w:r w:rsidR="003C4E31" w:rsidRPr="002A6BF2">
        <w:rPr>
          <w:lang w:val="en-US"/>
        </w:rPr>
        <w:t xml:space="preserve">deamination </w:t>
      </w:r>
      <w:r w:rsidR="00A173FC" w:rsidRPr="002A6BF2">
        <w:rPr>
          <w:lang w:val="en-US"/>
        </w:rPr>
        <w:t xml:space="preserve">to cinnamate </w:t>
      </w:r>
      <w:r w:rsidR="003C4E31" w:rsidRPr="002A6BF2">
        <w:rPr>
          <w:lang w:val="en-US"/>
        </w:rPr>
        <w:t>and</w:t>
      </w:r>
      <w:r w:rsidR="00A173FC" w:rsidRPr="002A6BF2">
        <w:rPr>
          <w:lang w:val="en-US"/>
        </w:rPr>
        <w:t xml:space="preserve"> </w:t>
      </w:r>
      <w:r w:rsidR="003C4E31" w:rsidRPr="002A6BF2">
        <w:rPr>
          <w:lang w:val="en-US"/>
        </w:rPr>
        <w:t>subsequent Co</w:t>
      </w:r>
      <w:r w:rsidR="00A173FC" w:rsidRPr="002A6BF2">
        <w:rPr>
          <w:lang w:val="en-US"/>
        </w:rPr>
        <w:t>A activation.</w:t>
      </w:r>
      <w:r w:rsidR="00F211EE" w:rsidRPr="002A6BF2">
        <w:rPr>
          <w:lang w:val="en-US"/>
        </w:rPr>
        <w:t xml:space="preserve"> Finally, </w:t>
      </w:r>
      <w:r w:rsidR="00EB5EAD" w:rsidRPr="002A6BF2">
        <w:rPr>
          <w:lang w:val="en-US"/>
        </w:rPr>
        <w:t>a</w:t>
      </w:r>
      <w:r w:rsidR="008E05E3" w:rsidRPr="002A6BF2">
        <w:rPr>
          <w:lang w:val="en-US"/>
        </w:rPr>
        <w:t>n</w:t>
      </w:r>
      <w:r w:rsidR="00F211EE" w:rsidRPr="002A6BF2">
        <w:rPr>
          <w:lang w:val="en-US"/>
        </w:rPr>
        <w:t xml:space="preserve"> STS</w:t>
      </w:r>
      <w:r w:rsidR="00A173FC" w:rsidRPr="002A6BF2">
        <w:rPr>
          <w:lang w:val="en-US"/>
        </w:rPr>
        <w:t xml:space="preserve"> </w:t>
      </w:r>
      <w:r w:rsidRPr="002A6BF2">
        <w:rPr>
          <w:lang w:val="en-US"/>
        </w:rPr>
        <w:t>converts the resulting cinnam</w:t>
      </w:r>
      <w:r w:rsidR="00DC53B8" w:rsidRPr="002A6BF2">
        <w:rPr>
          <w:lang w:val="en-US"/>
        </w:rPr>
        <w:t>o</w:t>
      </w:r>
      <w:r w:rsidRPr="002A6BF2">
        <w:rPr>
          <w:lang w:val="en-US"/>
        </w:rPr>
        <w:t>yl-CoA and three malonyl-CoA into</w:t>
      </w:r>
      <w:r w:rsidR="00F211EE" w:rsidRPr="002A6BF2">
        <w:rPr>
          <w:lang w:val="en-US"/>
        </w:rPr>
        <w:t xml:space="preserve"> pinosylvin and four CO</w:t>
      </w:r>
      <w:r w:rsidR="00F211EE" w:rsidRPr="002A6BF2">
        <w:rPr>
          <w:vertAlign w:val="subscript"/>
          <w:lang w:val="en-US"/>
        </w:rPr>
        <w:t>2</w:t>
      </w:r>
      <w:r w:rsidR="002B01C5" w:rsidRPr="002A6BF2">
        <w:rPr>
          <w:lang w:val="en-US"/>
        </w:rPr>
        <w:t xml:space="preserve"> </w:t>
      </w:r>
      <w:r w:rsidR="003C4E31" w:rsidRPr="002A6BF2">
        <w:rPr>
          <w:lang w:val="en-US"/>
        </w:rPr>
        <w:t>(</w:t>
      </w:r>
      <w:r w:rsidR="00325010" w:rsidRPr="002A6BF2">
        <w:rPr>
          <w:lang w:val="en-US"/>
        </w:rPr>
        <w:t>Fig.</w:t>
      </w:r>
      <w:r w:rsidR="003C4E31" w:rsidRPr="002A6BF2">
        <w:rPr>
          <w:lang w:val="en-US"/>
        </w:rPr>
        <w:t xml:space="preserve"> 1)</w:t>
      </w:r>
      <w:r w:rsidR="002B01C5" w:rsidRPr="002A6BF2">
        <w:rPr>
          <w:lang w:val="en-US"/>
        </w:rPr>
        <w:t>.</w:t>
      </w:r>
      <w:r w:rsidR="00F211EE" w:rsidRPr="002A6BF2">
        <w:rPr>
          <w:lang w:val="en-US"/>
        </w:rPr>
        <w:t xml:space="preserve"> </w:t>
      </w:r>
      <w:r w:rsidR="00BF30E1" w:rsidRPr="002A6BF2">
        <w:rPr>
          <w:lang w:val="en-US"/>
        </w:rPr>
        <w:t xml:space="preserve">Genomic integration of </w:t>
      </w:r>
      <w:r w:rsidR="007162D0" w:rsidRPr="002A6BF2">
        <w:rPr>
          <w:lang w:val="en-US"/>
        </w:rPr>
        <w:t xml:space="preserve">pinosylvin synthesis module </w:t>
      </w:r>
      <w:r w:rsidR="00BF30E1" w:rsidRPr="002A6BF2">
        <w:rPr>
          <w:i/>
          <w:iCs/>
          <w:lang w:val="en-US"/>
        </w:rPr>
        <w:t>AhSTS-Sc4CL</w:t>
      </w:r>
      <w:r w:rsidR="00BF30E1" w:rsidRPr="002A6BF2">
        <w:rPr>
          <w:i/>
          <w:iCs/>
          <w:vertAlign w:val="superscript"/>
          <w:lang w:val="en-US"/>
        </w:rPr>
        <w:t>A294G</w:t>
      </w:r>
      <w:r w:rsidR="00BF30E1" w:rsidRPr="002A6BF2">
        <w:rPr>
          <w:i/>
          <w:iCs/>
          <w:lang w:val="en-US"/>
        </w:rPr>
        <w:t>-AtPAL2</w:t>
      </w:r>
      <w:r w:rsidR="009E58BD" w:rsidRPr="002A6BF2">
        <w:rPr>
          <w:lang w:val="en-US"/>
        </w:rPr>
        <w:t xml:space="preserve">, consisting of his-tagged stilbene synthase AhSTS from </w:t>
      </w:r>
      <w:r w:rsidR="009E58BD" w:rsidRPr="002A6BF2">
        <w:rPr>
          <w:i/>
          <w:lang w:val="en-US"/>
        </w:rPr>
        <w:t>Arachis hypogaea</w:t>
      </w:r>
      <w:r w:rsidR="00BF30E1" w:rsidRPr="002A6BF2">
        <w:rPr>
          <w:lang w:val="en-US"/>
        </w:rPr>
        <w:t xml:space="preserve"> </w:t>
      </w:r>
      <w:r w:rsidR="009E58BD" w:rsidRPr="002A6BF2">
        <w:rPr>
          <w:lang w:val="en-US"/>
        </w:rPr>
        <w:fldChar w:fldCharType="begin" w:fldLock="1"/>
      </w:r>
      <w:r w:rsidR="00D40894" w:rsidRPr="002A6BF2">
        <w:rPr>
          <w:lang w:val="en-US"/>
        </w:rPr>
        <w:instrText>ADDIN CSL_CITATION {"citationItems":[{"id":"ITEM-1","itemData":{"ISSN":"00219258","PMID":"6427224","abstract":"Stilbene synthase ( resveratrol -forming) converts one molecule of rho- coumaroyl -CoA and three molecules of malonyl-CoA into 3,4',5- trihydroxystilbene . Following selective induction of stilbene synthesis in cell suspension cultures of peanut (Arachis hypogaea), the enzyme was extracted and purified to apparent homogeneity by chromatography on DEAE-cellulose and hydroxylapatite. The enzyme was found to be a dimer of estimated Mr = 90,000 exhibiting under denaturing conditions a subunit Mr of approximately 45,000. The isoelectric point was determined with pI = 4.8. The enzyme's high selectivity towards rho- coumaroyl -CoA (Km = 2 microM) as substrate qualified it as resveratrol -forming stilbene synthase. Structurally related CoA esters, e.g. dihydro-rho- coumaroyl -CoA and cinnamoyl-CoA, were converted less than 1/10 as efficiently as rho- coumaroyl -CoA. Malonyl-CoA (Km = 10 microM) could not be substituted by acetyl-CoA. The purified enzyme was free of chalcone synthase activity. Antibodies raised against stilbene synthase were shown to be monospecific and not to cross-react with chalcone synthase.","author":[{"dropping-particle":"","family":"Schöppner","given":"A.","non-dropping-particle":"","parse-names":false,"suffix":""},{"dropping-particle":"","family":"Kindl","given":"H.","non-dropping-particle":"","parse-names":false,"suffix":""}],"container-title":"Journal of Biological Chemistry","id":"ITEM-1","issue":"11","issued":{"date-parts":[["1984"]]},"note":"Km (MaCoA) 10 µM; Km (p-coumaroyl-CoA) 2 µM; \n9.5% activity for cinnamyl-CoA in comparison to coumaryl-CoA;","page":"6806-6811","title":"Purification and properties of a stilbene synthase from induced cell suspension cultures of peanut.","type":"article-journal","volume":"259"},"uris":["http://www.mendeley.com/documents/?uuid=4d8fe7f8-a448-4283-b108-25e488307bce"]}],"mendeley":{"formattedCitation":"(Schöppner &amp; Kindl, 1984)","plainTextFormattedCitation":"(Schöppner &amp; Kindl, 1984)","previouslyFormattedCitation":"(Schöppner &amp; Kindl, 1984)"},"properties":{"noteIndex":0},"schema":"https://github.com/citation-style-language/schema/raw/master/csl-citation.json"}</w:instrText>
      </w:r>
      <w:r w:rsidR="009E58BD" w:rsidRPr="002A6BF2">
        <w:rPr>
          <w:lang w:val="en-US"/>
        </w:rPr>
        <w:fldChar w:fldCharType="separate"/>
      </w:r>
      <w:r w:rsidR="00B255F3" w:rsidRPr="002A6BF2">
        <w:rPr>
          <w:noProof/>
          <w:lang w:val="en-US"/>
        </w:rPr>
        <w:t>(Schöppner &amp; Kindl, 1984)</w:t>
      </w:r>
      <w:r w:rsidR="009E58BD" w:rsidRPr="002A6BF2">
        <w:rPr>
          <w:lang w:val="en-US"/>
        </w:rPr>
        <w:fldChar w:fldCharType="end"/>
      </w:r>
      <w:r w:rsidR="009E58BD" w:rsidRPr="002A6BF2">
        <w:rPr>
          <w:lang w:val="en-US"/>
        </w:rPr>
        <w:t>, cinnamate:coenzyme A ligase</w:t>
      </w:r>
      <w:r w:rsidR="00D25AEC" w:rsidRPr="002A6BF2">
        <w:rPr>
          <w:lang w:val="en-US"/>
        </w:rPr>
        <w:t xml:space="preserve"> mutant</w:t>
      </w:r>
      <w:r w:rsidR="009E58BD" w:rsidRPr="002A6BF2">
        <w:rPr>
          <w:lang w:val="en-US"/>
        </w:rPr>
        <w:t xml:space="preserve"> Sc4CL</w:t>
      </w:r>
      <w:r w:rsidR="009E58BD" w:rsidRPr="002A6BF2">
        <w:rPr>
          <w:vertAlign w:val="superscript"/>
          <w:lang w:val="en-US"/>
        </w:rPr>
        <w:t>A294G</w:t>
      </w:r>
      <w:r w:rsidR="009E58BD" w:rsidRPr="002A6BF2">
        <w:rPr>
          <w:lang w:val="en-US"/>
        </w:rPr>
        <w:t xml:space="preserve"> from </w:t>
      </w:r>
      <w:r w:rsidR="009E58BD" w:rsidRPr="002A6BF2">
        <w:rPr>
          <w:i/>
          <w:lang w:val="en-US"/>
        </w:rPr>
        <w:t>Streptomyces coelicolor</w:t>
      </w:r>
      <w:r w:rsidR="009E58BD" w:rsidRPr="002A6BF2">
        <w:rPr>
          <w:lang w:val="en-US"/>
        </w:rPr>
        <w:t xml:space="preserve"> A3 </w:t>
      </w:r>
      <w:r w:rsidR="009E58BD" w:rsidRPr="002A6BF2">
        <w:rPr>
          <w:lang w:val="en-US"/>
        </w:rPr>
        <w:fldChar w:fldCharType="begin" w:fldLock="1"/>
      </w:r>
      <w:r w:rsidR="00D40894" w:rsidRPr="002A6BF2">
        <w:rPr>
          <w:lang w:val="en-US"/>
        </w:rPr>
        <w:instrText>ADDIN CSL_CITATION {"citationItems":[{"id":"ITEM-1","itemData":{"DOI":"10.1128/JB.185.1.20–27.2003","abstract":"4-Coumarate:coenzyme A ligase (4CL) plays a key role in phenylpropanoid metabolism, providing precur- sors for a large variety of important plant secondary metabolites, such as lignin, flavonoids, and phytoalexins. Although 4CLs have been believed to be specific to plants, a gene encoding a 4CL-like enzyme which shows more than 40% identity in amino acid sequence to plant 4CLs was found in the genome of the gram-positive, filamentous bacterium Streptomyces coelicolor A3(2). The recombinant enzyme, produced in Escherichia coli with a histidine tag at its N-terminal end, showed distinct 4CL activity. The optimum pH and temperature of the reaction were pH 8.0 and 30°C, respectively. The Km value for 4-coumarate and kcat were determined as 131 ⴞ 4 ?M and 0.202 ⴞ 0.007 sⴚ1 , respectively. The Km value was comparable to those of plant 4CLs. The substrate specificity of this enzyme was, however, distinctly different from those of plant 4CLs. The enzyme efficiently converted cinnamate (Km , 190 ⴞ 2 ?M; kcat, 0.475 ⴞ 0.012 sⴚ1 ), which is a very poor substrate for plant 4CLs. Furthermore, the enzyme showed only low activity toward caffeate and no activity toward ferulate, both of which are generally good substrates for plant 4CLs. The enzyme was therefore named ScCCL for S. coelicolor A3(2) cinnamate CoA ligase. To determine the amino acid residues providing the unique substrate specificity of ScCCL, eight ScCCL mutant enzymes having a mutation(s) at amino acid residues that probably line up along the substrate-binding pocket were generated. Mutant A294G used caffeate as a substrate more efficiently than ScCCL, and mutant A294G/A318G used ferulate, which ScCCL could not use as a substrate, suggesting that Ala294 and Ala318 are involved in substrate recognition. Furthermore, the catalytic activities of A294G and A294G/A318G toward cinnamate and 4-coumarate were greatly enhanced compared with those of the wild-type enzyme.","author":[{"dropping-particle":"","family":"Kaneko","given":"Masafumi","non-dropping-particle":"","parse-names":false,"suffix":""},{"dropping-particle":"","family":"Ohnishi","given":"Yasuo","non-dropping-particle":"","parse-names":false,"suffix":""},{"dropping-particle":"","family":"Horinouchi","given":"Sueharu","non-dropping-particle":"","parse-names":false,"suffix":""}],"container-title":"Journal of Bacteriology","id":"ITEM-1","issue":"1","issued":{"date-parts":[["2003"]]},"page":"20-27","title":"Cinnamate:Coenzyme A Ligase from the Filamentous Bacterium &lt;i&gt;Streptomyces coelicolor&lt;/i&gt; A3(2)","type":"article-journal","volume":"185"},"uris":["http://www.mendeley.com/documents/?uuid=52d87d33-aaa6-4c2e-ab4d-6e29eabd6a18"]}],"mendeley":{"formattedCitation":"(Kaneko et al., 2003)","plainTextFormattedCitation":"(Kaneko et al., 2003)","previouslyFormattedCitation":"(Kaneko et al., 2003)"},"properties":{"noteIndex":0},"schema":"https://github.com/citation-style-language/schema/raw/master/csl-citation.json"}</w:instrText>
      </w:r>
      <w:r w:rsidR="009E58BD" w:rsidRPr="002A6BF2">
        <w:rPr>
          <w:lang w:val="en-US"/>
        </w:rPr>
        <w:fldChar w:fldCharType="separate"/>
      </w:r>
      <w:r w:rsidR="00B255F3" w:rsidRPr="002A6BF2">
        <w:rPr>
          <w:noProof/>
          <w:lang w:val="en-US"/>
        </w:rPr>
        <w:t>(Kaneko et al., 2003)</w:t>
      </w:r>
      <w:r w:rsidR="009E58BD" w:rsidRPr="002A6BF2">
        <w:rPr>
          <w:lang w:val="en-US"/>
        </w:rPr>
        <w:fldChar w:fldCharType="end"/>
      </w:r>
      <w:r w:rsidR="009E58BD" w:rsidRPr="002A6BF2">
        <w:rPr>
          <w:lang w:val="en-US"/>
        </w:rPr>
        <w:t xml:space="preserve"> and AtPAL2 </w:t>
      </w:r>
      <w:r w:rsidR="009E58BD" w:rsidRPr="002A6BF2">
        <w:rPr>
          <w:lang w:val="en-US"/>
        </w:rPr>
        <w:fldChar w:fldCharType="begin" w:fldLock="1"/>
      </w:r>
      <w:r w:rsidR="00D40894" w:rsidRPr="002A6BF2">
        <w:rPr>
          <w:lang w:val="en-US"/>
        </w:rPr>
        <w:instrText>ADDIN CSL_CITATION {"citationItems":[{"id":"ITEM-1","itemData":{"DOI":"10.1016/j.phytochem.2004.05.006","ISBN":"1509335838","ISSN":"00319422","abstract":"In Arabidopsis thaliana, four genes have been annotated as provisionally encoding PAL. In this study, recombinant native AtPAL1, 2, and 4 were demonstrated to be catalytically competent for L-phenylalanine deamination, whereas AtPAL3, obtained as a N-terminal His-tagged protein, was of very low activity and only detectable at high substrate concentrations. All four PALs displayed similar pH optima, but not temperature optima; AtPAL3 had a lower temperature optimum than the other three isoforms. AtPAL1, 2 and 4 had similar Km values (64-71 μM) for L-Phe, with AtPAL2 apparently being slightly more catalytically efficacious due to decreased Km and higher kcat values, relative to the others. As anticipated, PAL activities with L-tyrosine were either low (AtPAL1, 2, and 4) or undetectable (AtPAL3), thereby establishing that L-Phe is the true physiological substrate. This detailed knowledge of the kinetic and functional properties of the various PAL isoforms now provides the necessary biochemical foundation required for the systematic investigation and dissection of the organization of the PAL metabolic network/gene circuitry involved in numerous aspects of phenylpropanoid metabolism in A. thaliana spanning various cell types, tissues and organs. © 2004 Elsevier Ltd. All rights reserved.","author":[{"dropping-particle":"","family":"Cochrane","given":"Fiona C.","non-dropping-particle":"","parse-names":false,"suffix":""},{"dropping-particle":"","family":"Davin","given":"Laurence B.","non-dropping-particle":"","parse-names":false,"suffix":""},{"dropping-particle":"","family":"Lewis","given":"Norman G.","non-dropping-particle":"","parse-names":false,"suffix":""}],"container-title":"Phytochemistry","id":"ITEM-1","issue":"11","issued":{"date-parts":[["2004"]]},"note":"AtPAL2 is used in my studies","page":"1557-1564","title":"The &lt;i&gt;Arabidopsis&lt;/i&gt; phenylalanine ammonia lyase gene family: Kinetic characterization of the four PAL isoforms","type":"article-journal","volume":"65"},"uris":["http://www.mendeley.com/documents/?uuid=25338f05-62e1-490d-857d-98d7d7dc1118"]}],"mendeley":{"formattedCitation":"(Cochrane et al., 2004)","plainTextFormattedCitation":"(Cochrane et al., 2004)","previouslyFormattedCitation":"(Cochrane et al., 2004)"},"properties":{"noteIndex":0},"schema":"https://github.com/citation-style-language/schema/raw/master/csl-citation.json"}</w:instrText>
      </w:r>
      <w:r w:rsidR="009E58BD" w:rsidRPr="002A6BF2">
        <w:rPr>
          <w:lang w:val="en-US"/>
        </w:rPr>
        <w:fldChar w:fldCharType="separate"/>
      </w:r>
      <w:r w:rsidR="00B255F3" w:rsidRPr="002A6BF2">
        <w:rPr>
          <w:noProof/>
          <w:lang w:val="en-US"/>
        </w:rPr>
        <w:t>(Cochrane et al., 2004)</w:t>
      </w:r>
      <w:r w:rsidR="009E58BD" w:rsidRPr="002A6BF2">
        <w:rPr>
          <w:lang w:val="en-US"/>
        </w:rPr>
        <w:fldChar w:fldCharType="end"/>
      </w:r>
      <w:r w:rsidR="009E58BD" w:rsidRPr="002A6BF2">
        <w:rPr>
          <w:lang w:val="en-US"/>
        </w:rPr>
        <w:t xml:space="preserve"> </w:t>
      </w:r>
      <w:r w:rsidR="00591CA5" w:rsidRPr="002A6BF2">
        <w:rPr>
          <w:lang w:val="en-US"/>
        </w:rPr>
        <w:t xml:space="preserve">were made to </w:t>
      </w:r>
      <w:r w:rsidR="00300D32" w:rsidRPr="002A6BF2">
        <w:rPr>
          <w:lang w:val="en-US"/>
        </w:rPr>
        <w:t xml:space="preserve">enable </w:t>
      </w:r>
      <w:r w:rsidR="00BF30E1" w:rsidRPr="002A6BF2">
        <w:rPr>
          <w:i/>
          <w:lang w:val="en-US"/>
        </w:rPr>
        <w:t>de novo</w:t>
      </w:r>
      <w:r w:rsidR="00BF30E1" w:rsidRPr="002A6BF2">
        <w:rPr>
          <w:lang w:val="en-US"/>
        </w:rPr>
        <w:t xml:space="preserve"> cinnamate and pinosylvin synthesis</w:t>
      </w:r>
      <w:r w:rsidR="001158E7" w:rsidRPr="002A6BF2">
        <w:rPr>
          <w:lang w:val="en-US"/>
        </w:rPr>
        <w:t>.</w:t>
      </w:r>
      <w:r w:rsidR="00BF30E1" w:rsidRPr="002A6BF2">
        <w:rPr>
          <w:lang w:val="en-US"/>
        </w:rPr>
        <w:t xml:space="preserve"> </w:t>
      </w:r>
      <w:r w:rsidR="00D129FA" w:rsidRPr="002A6BF2">
        <w:rPr>
          <w:lang w:val="en-US"/>
        </w:rPr>
        <w:t>High initial biomass and a</w:t>
      </w:r>
      <w:r w:rsidR="001158E7" w:rsidRPr="002A6BF2">
        <w:rPr>
          <w:lang w:val="en-US"/>
        </w:rPr>
        <w:t>ddition of</w:t>
      </w:r>
      <w:r w:rsidR="009F2DC9" w:rsidRPr="002A6BF2">
        <w:rPr>
          <w:lang w:val="en-US"/>
        </w:rPr>
        <w:t xml:space="preserve"> </w:t>
      </w:r>
      <w:r w:rsidR="001158E7" w:rsidRPr="002A6BF2">
        <w:rPr>
          <w:lang w:val="en-US"/>
        </w:rPr>
        <w:t>180</w:t>
      </w:r>
      <w:r w:rsidR="006B0EFD" w:rsidRPr="002A6BF2">
        <w:rPr>
          <w:lang w:val="en-US"/>
        </w:rPr>
        <w:t> </w:t>
      </w:r>
      <w:r w:rsidR="001158E7" w:rsidRPr="002A6BF2">
        <w:rPr>
          <w:lang w:val="en-US"/>
        </w:rPr>
        <w:t xml:space="preserve">µM </w:t>
      </w:r>
      <w:r w:rsidR="009F2DC9" w:rsidRPr="002A6BF2">
        <w:rPr>
          <w:lang w:val="en-US"/>
        </w:rPr>
        <w:t xml:space="preserve">of FAS inhibiting </w:t>
      </w:r>
      <w:r w:rsidR="00BF30E1" w:rsidRPr="002A6BF2">
        <w:rPr>
          <w:lang w:val="en-US"/>
        </w:rPr>
        <w:t>cerulenin</w:t>
      </w:r>
      <w:r w:rsidR="001158E7" w:rsidRPr="002A6BF2">
        <w:rPr>
          <w:lang w:val="en-US"/>
        </w:rPr>
        <w:t xml:space="preserve"> was used</w:t>
      </w:r>
      <w:r w:rsidR="00BF30E1" w:rsidRPr="002A6BF2">
        <w:rPr>
          <w:lang w:val="en-US"/>
        </w:rPr>
        <w:t xml:space="preserve"> to elevate malonyl-CoA </w:t>
      </w:r>
      <w:r w:rsidR="001158E7" w:rsidRPr="002A6BF2">
        <w:rPr>
          <w:lang w:val="en-US"/>
        </w:rPr>
        <w:t>availability</w:t>
      </w:r>
      <w:r w:rsidR="008008CB" w:rsidRPr="002A6BF2">
        <w:rPr>
          <w:lang w:val="en-US"/>
        </w:rPr>
        <w:t xml:space="preserve"> (</w:t>
      </w:r>
      <w:r w:rsidR="0059590A" w:rsidRPr="002A6BF2">
        <w:rPr>
          <w:lang w:val="en-US"/>
        </w:rPr>
        <w:t>S</w:t>
      </w:r>
      <w:r w:rsidR="008008CB" w:rsidRPr="002A6BF2">
        <w:rPr>
          <w:lang w:val="en-US"/>
        </w:rPr>
        <w:t xml:space="preserve">upplementary </w:t>
      </w:r>
      <w:r w:rsidR="00B35427" w:rsidRPr="002A6BF2">
        <w:rPr>
          <w:lang w:val="en-US"/>
        </w:rPr>
        <w:t>S</w:t>
      </w:r>
      <w:r w:rsidR="00965039" w:rsidRPr="002A6BF2">
        <w:rPr>
          <w:lang w:val="en-US"/>
        </w:rPr>
        <w:t>9</w:t>
      </w:r>
      <w:r w:rsidR="008008CB" w:rsidRPr="002A6BF2">
        <w:rPr>
          <w:lang w:val="en-US"/>
        </w:rPr>
        <w:t>)</w:t>
      </w:r>
      <w:r w:rsidR="000A7587" w:rsidRPr="002A6BF2">
        <w:rPr>
          <w:lang w:val="en-US"/>
        </w:rPr>
        <w:t xml:space="preserve">. </w:t>
      </w:r>
      <w:r w:rsidR="0043369B" w:rsidRPr="002A6BF2">
        <w:rPr>
          <w:lang w:val="en-US"/>
        </w:rPr>
        <w:t xml:space="preserve">Cerulenin addition </w:t>
      </w:r>
      <w:r w:rsidR="00D129FA" w:rsidRPr="002A6BF2">
        <w:rPr>
          <w:lang w:val="en-US"/>
        </w:rPr>
        <w:t>result</w:t>
      </w:r>
      <w:r w:rsidR="002D6893" w:rsidRPr="002A6BF2">
        <w:rPr>
          <w:lang w:val="en-US"/>
        </w:rPr>
        <w:t>ed</w:t>
      </w:r>
      <w:r w:rsidR="00D129FA" w:rsidRPr="002A6BF2">
        <w:rPr>
          <w:lang w:val="en-US"/>
        </w:rPr>
        <w:t xml:space="preserve"> in </w:t>
      </w:r>
      <w:r w:rsidR="002D6893" w:rsidRPr="002A6BF2">
        <w:rPr>
          <w:lang w:val="en-US"/>
        </w:rPr>
        <w:t xml:space="preserve">strong </w:t>
      </w:r>
      <w:r w:rsidR="00D129FA" w:rsidRPr="002A6BF2">
        <w:rPr>
          <w:lang w:val="en-US"/>
        </w:rPr>
        <w:t>growth</w:t>
      </w:r>
      <w:r w:rsidR="00FC7350" w:rsidRPr="002A6BF2">
        <w:rPr>
          <w:lang w:val="en-US"/>
        </w:rPr>
        <w:t xml:space="preserve"> </w:t>
      </w:r>
      <w:r w:rsidR="00356373" w:rsidRPr="002A6BF2">
        <w:rPr>
          <w:lang w:val="en-US"/>
        </w:rPr>
        <w:t xml:space="preserve">inhibition </w:t>
      </w:r>
      <w:r w:rsidR="0051582F" w:rsidRPr="002A6BF2">
        <w:rPr>
          <w:lang w:val="en-US"/>
        </w:rPr>
        <w:t>of the host</w:t>
      </w:r>
      <w:r w:rsidR="00356373" w:rsidRPr="002A6BF2">
        <w:rPr>
          <w:lang w:val="en-US"/>
        </w:rPr>
        <w:t xml:space="preserve">, leading to only one further doubling of the </w:t>
      </w:r>
      <w:r w:rsidR="0051582F" w:rsidRPr="002A6BF2">
        <w:rPr>
          <w:lang w:val="en-US"/>
        </w:rPr>
        <w:t>OD</w:t>
      </w:r>
      <w:r w:rsidR="0051582F" w:rsidRPr="002A6BF2">
        <w:rPr>
          <w:vertAlign w:val="subscript"/>
          <w:lang w:val="en-US"/>
        </w:rPr>
        <w:t>600</w:t>
      </w:r>
      <w:r w:rsidR="0051582F" w:rsidRPr="002A6BF2">
        <w:rPr>
          <w:lang w:val="en-US"/>
        </w:rPr>
        <w:t xml:space="preserve"> </w:t>
      </w:r>
      <w:r w:rsidR="00356373" w:rsidRPr="002A6BF2">
        <w:rPr>
          <w:lang w:val="en-US"/>
        </w:rPr>
        <w:t>after its addition</w:t>
      </w:r>
      <w:r w:rsidR="00D129FA" w:rsidRPr="002A6BF2">
        <w:rPr>
          <w:lang w:val="en-US"/>
        </w:rPr>
        <w:t>.</w:t>
      </w:r>
      <w:r w:rsidR="001158E7" w:rsidRPr="002A6BF2">
        <w:rPr>
          <w:lang w:val="en-US"/>
        </w:rPr>
        <w:t xml:space="preserve"> </w:t>
      </w:r>
      <w:r w:rsidR="003C4E31" w:rsidRPr="002A6BF2">
        <w:rPr>
          <w:lang w:val="en-US"/>
        </w:rPr>
        <w:t>It should be noted that</w:t>
      </w:r>
      <w:r w:rsidR="005D52FF" w:rsidRPr="002A6BF2">
        <w:rPr>
          <w:lang w:val="en-US"/>
        </w:rPr>
        <w:t xml:space="preserve"> the applied</w:t>
      </w:r>
      <w:r w:rsidR="003C4E31" w:rsidRPr="002A6BF2">
        <w:rPr>
          <w:lang w:val="en-US"/>
        </w:rPr>
        <w:t xml:space="preserve"> cerulenin</w:t>
      </w:r>
      <w:r w:rsidR="005D52FF" w:rsidRPr="002A6BF2">
        <w:rPr>
          <w:lang w:val="en-US"/>
        </w:rPr>
        <w:t xml:space="preserve"> concentration was very high</w:t>
      </w:r>
      <w:r w:rsidR="003C4E31" w:rsidRPr="002A6BF2">
        <w:rPr>
          <w:lang w:val="en-US"/>
        </w:rPr>
        <w:t xml:space="preserve"> compared to </w:t>
      </w:r>
      <w:r w:rsidR="00642DFD" w:rsidRPr="002A6BF2">
        <w:rPr>
          <w:lang w:val="en-US"/>
        </w:rPr>
        <w:t>concentrations</w:t>
      </w:r>
      <w:r w:rsidR="00DF527D" w:rsidRPr="002A6BF2">
        <w:rPr>
          <w:lang w:val="en-US"/>
        </w:rPr>
        <w:t xml:space="preserve"> </w:t>
      </w:r>
      <w:r w:rsidR="003C4E31" w:rsidRPr="002A6BF2">
        <w:rPr>
          <w:lang w:val="en-US"/>
        </w:rPr>
        <w:t xml:space="preserve">typically used in other hosts such as </w:t>
      </w:r>
      <w:r w:rsidR="003C4E31" w:rsidRPr="002A6BF2">
        <w:rPr>
          <w:i/>
          <w:iCs/>
          <w:lang w:val="en-US"/>
        </w:rPr>
        <w:t>E. coli</w:t>
      </w:r>
      <w:r w:rsidR="003C4E31" w:rsidRPr="002A6BF2">
        <w:rPr>
          <w:lang w:val="en-US"/>
        </w:rPr>
        <w:t xml:space="preserve"> (</w:t>
      </w:r>
      <w:r w:rsidR="007E6F0B" w:rsidRPr="002A6BF2">
        <w:rPr>
          <w:rFonts w:cstheme="minorHAnsi"/>
          <w:lang w:val="en-US"/>
        </w:rPr>
        <w:t>≤</w:t>
      </w:r>
      <w:r w:rsidR="00704ADD" w:rsidRPr="002A6BF2">
        <w:rPr>
          <w:lang w:val="en-US"/>
        </w:rPr>
        <w:t>100</w:t>
      </w:r>
      <w:r w:rsidR="003C4E31" w:rsidRPr="002A6BF2">
        <w:rPr>
          <w:lang w:val="en-US"/>
        </w:rPr>
        <w:t xml:space="preserve"> </w:t>
      </w:r>
      <w:r w:rsidR="00704ADD" w:rsidRPr="002A6BF2">
        <w:rPr>
          <w:lang w:val="en-US"/>
        </w:rPr>
        <w:t>µ</w:t>
      </w:r>
      <w:r w:rsidR="003C4E31" w:rsidRPr="002A6BF2">
        <w:rPr>
          <w:lang w:val="en-US"/>
        </w:rPr>
        <w:t>M</w:t>
      </w:r>
      <w:r w:rsidR="00704ADD" w:rsidRPr="002A6BF2">
        <w:rPr>
          <w:lang w:val="en-US"/>
        </w:rPr>
        <w:t xml:space="preserve"> </w:t>
      </w:r>
      <w:r w:rsidR="00704ADD" w:rsidRPr="002A6BF2">
        <w:rPr>
          <w:lang w:val="en-US"/>
        </w:rPr>
        <w:fldChar w:fldCharType="begin" w:fldLock="1"/>
      </w:r>
      <w:r w:rsidR="00E81DDE" w:rsidRPr="002A6BF2">
        <w:rPr>
          <w:lang w:val="en-US"/>
        </w:rPr>
        <w:instrText>ADDIN CSL_CITATION {"citationItems":[{"id":"ITEM-1","itemData":{"DOI":"10.1073/pnas.1808567115","ISSN":"0027-8424","abstract":"Malonyl-CoA is an important central metabolite for the production of diverse valuable chemicals including natural products, but its intracellular availability is often limited due to the competition with essential cellular metabolism. Several malonyl-CoA biosensors have been developed for high-throughput screening of targets increasing the malonyl-CoA pool. However, they are limited for use only in Escherichia coli and Saccharomyces cerevisiae and require multiple signal transduction steps. Here we report development of a colorimetric malonyl-CoA biosensor applicable in three industrially important bacteria: E. coli , Pseudomonas putida , and Corynebacterium glutamicum . RppA, a type III polyketide synthase producing red-colored flaviolin, was repurposed as a malonyl-CoA biosensor in E. coli . Strains with enhanced malonyl-CoA accumulation were identifiable by the colorimetric screening of cells showing increased red color. Other type III polyketide synthases could also be repurposed as malonyl-CoA biosensors. For target screening, a 1,858 synthetic small regulatory RNA library was constructed and applied to find 14 knockdown gene targets that generally enhanced malonyl-CoA level in E. coli . These knockdown targets were applied to produce two polyketide (6-methylsalicylic acid and aloesone) and two phenylpropanoid (resveratrol and naringenin) compounds. Knocking down these genes alone or in combination, and also in multiple different E. coli strains for two polyketide cases, allowed rapid development of engineered strains capable of enhanced production of 6-methylsalicylic acid, aloesone, resveratrol, and naringenin to 440.3, 30.9, 51.8, and 103.8 mg/L, respectively. The malonyl-CoA biosensor developed here is a simple tool generally applicable to metabolic engineering of microorganisms to achieve enhanced production of malonyl-CoA–derived chemicals.","author":[{"dropping-particle":"","family":"Yang","given":"Dongsoo","non-dropping-particle":"","parse-names":false,"suffix":""},{"dropping-particle":"","family":"Kim","given":"Won Jun","non-dropping-particle":"","parse-names":false,"suffix":""},{"dropping-particle":"","family":"Yoo","given":"Seung Min","non-dropping-particle":"","parse-names":false,"suffix":""},{"dropping-particle":"","family":"Choi","given":"Jong Hyun","non-dropping-particle":"","parse-names":false,"suffix":""},{"dropping-particle":"","family":"Ha","given":"Shin Hee","non-dropping-particle":"","parse-names":false,"suffix":""},{"dropping-particle":"","family":"Lee","given":"Mun Hee","non-dropping-particle":"","parse-names":false,"suffix":""},{"dropping-particle":"","family":"Lee","given":"Sang Yup","non-dropping-particle":"","parse-names":false,"suffix":""}],"container-title":"Proceedings of the National Academy of Sciences","id":"ITEM-1","issue":"40","issued":{"date-parts":[["2018","10","2"]]},"note":"254nm for flaviolin detection in HPLC","page":"9835-9844","title":"Repurposing type III polyketide synthase as a malonyl-CoA biosensor for metabolic engineering in bacteria","type":"article-journal","volume":"115"},"uris":["http://www.mendeley.com/documents/?uuid=55ee17eb-36f2-43b7-a6c6-5c2f15701d78"]},{"id":"ITEM-2","itemData":{"DOI":"10.1186/s13068-022-02236-5","ISBN":"1306802202","ISSN":"27313654","abstract":"Background: The conversion of lignin-derived aromatic monomers into valuable chemicals has promising potential to improve the economic competitiveness of biomass biorefineries. Pinosylvin is an attractive pharmaceutical with multiple promising biological activities. Results: Herein, Escherichia coli was engineered to convert the lignin-derived standard model monomer cinnamic acid into pinosylvin by introducing two novel enzymes from the wood plant: stilbene synthase from Pinus pinea (PpSTS) and 4-Coumarate-CoA ligase from Populus trichocarpa (Ptr4CL4). The expression of Ptr4CL4 drastically improved the production of pinosylvin (42.5 ± 1.1 mg/L), achieving values 15.7-fold higher than that of Ptr4CL5 (another 4-Coumarate-CoA ligase from Populus trichocarpa) in the absence of cerulenin. By adjusting the expression strategy, the optimized engineered strain produced pinosylvin at 153.7 ± 2.2 mg/L with an extremely high yield of 1.20 ± 0.02 mg/mg cinnamic acid in the presence of cerulenin, which is 83.9% ± 1.17 of the theoretical yield. This is the highest reported pinosylvin yield directly from cinnamic acid to date. Conclusion: Our work highlights the feasibility of microbial production of pinosylvin from cinnamic acid and paves the way for converting lignin-related aromatics to valuable chemicals.","author":[{"dropping-particle":"","family":"Hu","given":"Yueli","non-dropping-particle":"","parse-names":false,"suffix":""},{"dropping-particle":"","family":"Zhang","given":"Chen","non-dropping-particle":"","parse-names":false,"suffix":""},{"dropping-particle":"","family":"Zou","given":"Lihua","non-dropping-particle":"","parse-names":false,"suffix":""},{"dropping-particle":"","family":"Zheng","given":"Zhaojuan","non-dropping-particle":"","parse-names":false,"suffix":""},{"dropping-particle":"","family":"Ouyang","given":"Jia","non-dropping-particle":"","parse-names":false,"suffix":""}],"container-title":"Biotechnology for Biofuels and Bioproducts","id":"ITEM-2","issue":"1","issued":{"date-parts":[["2022"]]},"page":"1-12","publisher":"BioMed Central","title":"Efficient biosynthesis of pinosylvin from lignin-derived cinnamic acid by metabolic engineering of &lt;i&gt;Escherichia coli&lt;/i&gt;","type":"article-journal","volume":"15"},"uris":["http://www.mendeley.com/documents/?uuid=13e52697-a4e3-4b97-8374-670f8de60e7e"]}],"mendeley":{"formattedCitation":"(Hu et al., 2022; D. Yang et al., 2018)","manualFormatting":"(Hu et al., 2022; Yang et al., 2018)","plainTextFormattedCitation":"(Hu et al., 2022; D. Yang et al., 2018)","previouslyFormattedCitation":"(Hu et al., 2022; D. Yang et al., 2018)"},"properties":{"noteIndex":0},"schema":"https://github.com/citation-style-language/schema/raw/master/csl-citation.json"}</w:instrText>
      </w:r>
      <w:r w:rsidR="00704ADD" w:rsidRPr="002A6BF2">
        <w:rPr>
          <w:lang w:val="en-US"/>
        </w:rPr>
        <w:fldChar w:fldCharType="separate"/>
      </w:r>
      <w:r w:rsidR="00AB7E39" w:rsidRPr="002A6BF2">
        <w:rPr>
          <w:noProof/>
          <w:lang w:val="en-US"/>
        </w:rPr>
        <w:t>(Hu et al., 2022; Yang et al., 2018)</w:t>
      </w:r>
      <w:r w:rsidR="00704ADD" w:rsidRPr="002A6BF2">
        <w:rPr>
          <w:lang w:val="en-US"/>
        </w:rPr>
        <w:fldChar w:fldCharType="end"/>
      </w:r>
      <w:r w:rsidR="003C4E31" w:rsidRPr="002A6BF2">
        <w:rPr>
          <w:lang w:val="en-US"/>
        </w:rPr>
        <w:t xml:space="preserve">) or </w:t>
      </w:r>
      <w:r w:rsidR="003C4E31" w:rsidRPr="002A6BF2">
        <w:rPr>
          <w:i/>
          <w:iCs/>
          <w:lang w:val="en-US"/>
        </w:rPr>
        <w:t>C. glutamicum</w:t>
      </w:r>
      <w:r w:rsidR="003C4E31" w:rsidRPr="002A6BF2">
        <w:rPr>
          <w:lang w:val="en-US"/>
        </w:rPr>
        <w:t xml:space="preserve"> (</w:t>
      </w:r>
      <w:r w:rsidR="00FD29E5" w:rsidRPr="002A6BF2">
        <w:rPr>
          <w:lang w:val="en-US"/>
        </w:rPr>
        <w:t>25</w:t>
      </w:r>
      <w:r w:rsidR="003C4E31" w:rsidRPr="002A6BF2">
        <w:rPr>
          <w:lang w:val="en-US"/>
        </w:rPr>
        <w:t xml:space="preserve"> </w:t>
      </w:r>
      <w:r w:rsidR="00FD29E5" w:rsidRPr="002A6BF2">
        <w:rPr>
          <w:lang w:val="en-US"/>
        </w:rPr>
        <w:t>µ</w:t>
      </w:r>
      <w:r w:rsidR="003C4E31" w:rsidRPr="002A6BF2">
        <w:rPr>
          <w:lang w:val="en-US"/>
        </w:rPr>
        <w:t>M</w:t>
      </w:r>
      <w:r w:rsidR="00FD29E5" w:rsidRPr="002A6BF2">
        <w:rPr>
          <w:lang w:val="en-US"/>
        </w:rPr>
        <w:t xml:space="preserve"> </w:t>
      </w:r>
      <w:r w:rsidR="00FD29E5" w:rsidRPr="002A6BF2">
        <w:rPr>
          <w:lang w:val="en-US"/>
        </w:rPr>
        <w:fldChar w:fldCharType="begin" w:fldLock="1"/>
      </w:r>
      <w:r w:rsidR="00D40894" w:rsidRPr="002A6BF2">
        <w:rPr>
          <w:lang w:val="en-US"/>
        </w:rPr>
        <w:instrText>ADDIN CSL_CITATION {"citationItems":[{"id":"ITEM-1","itemData":{"DOI":"10.1016/j.ymben.2016.06.003","ISSN":"10967184","abstract":"Corynebacterium glutamicum is an important organism in industrial biotechnology for the microbial production of bulk chemicals, in particular amino acids. However, until now activity of a complex catabolic network for the degradation of aromatic compounds averted application of C. glutamicum as production host for aromatic compounds of pharmaceutical or biotechnological interest. In the course of the construction of a suitable C. glutamicum platform strain for plant polyphenol production, four gene clusters comprising 21 genes involved in the catabolism of aromatic compounds were deleted. Expression of plant-derived and codon-optimized genes coding for a chalcone synthase (CHS) and a chalcone isomerase (CHI) in this strain background enabled formation of 35 mg/L naringenin and 37 mg/L eriodictyol from the supplemented phenylpropanoids p-coumaric acid and caffeic acid, respectively. Furthermore, expression of genes coding for a 4-coumarate: CoA-ligase (4CL) and a stilbene synthase (STS) led to the production of the stilbenes pinosylvin, resveratrol and piceatannol starting from supplemented phenylpropanoids cinnamic acid, p-coumaric acid and caffeic acid, respectively. Stilbene concentrations of up to 158 mg/L could be achieved. Additional engineering of the amino acid metabolism for an optimal connection to the synthetic plant polyphenol pathways enabled resveratrol production directly from glucose. The construction of these C. glutamicum platform strains for the synthesis of plant polyphenols opens the door towards the microbial production of high-value aromatic compounds from cheap carbon sources with this microorganism.","author":[{"dropping-particle":"","family":"Kallscheuer","given":"Nicolai","non-dropping-particle":"","parse-names":false,"suffix":""},{"dropping-particle":"","family":"Vogt","given":"Michael","non-dropping-particle":"","parse-names":false,"suffix":""},{"dropping-particle":"","family":"Stenzel","given":"Anton","non-dropping-particle":"","parse-names":false,"suffix":""},{"dropping-particle":"","family":"Gätgens","given":"Jochem","non-dropping-particle":"","parse-names":false,"suffix":""},{"dropping-particle":"","family":"Bott","given":"Michael","non-dropping-particle":"","parse-names":false,"suffix":""},{"dropping-particle":"","family":"Marienhagen","given":"Jan","non-dropping-particle":"","parse-names":false,"suffix":""}],"container-title":"Metabolic Engineering","id":"ITEM-1","issued":{"date-parts":[["2016"]]},"page":"47-55","publisher":"Elsevier","title":"Construction of a &lt;i&gt;Corynebacterium glutamicum&lt;/i&gt; platform strain for the production of stilbenes and (2S)-flavanones","type":"article-journal","volume":"38"},"uris":["http://www.mendeley.com/documents/?uuid=6bd1384a-3e12-49c7-98d9-22ee69378ba6"]}],"mendeley":{"formattedCitation":"(Kallscheuer et al., 2016)","plainTextFormattedCitation":"(Kallscheuer et al., 2016)","previouslyFormattedCitation":"(Kallscheuer et al., 2016)"},"properties":{"noteIndex":0},"schema":"https://github.com/citation-style-language/schema/raw/master/csl-citation.json"}</w:instrText>
      </w:r>
      <w:r w:rsidR="00FD29E5" w:rsidRPr="002A6BF2">
        <w:rPr>
          <w:lang w:val="en-US"/>
        </w:rPr>
        <w:fldChar w:fldCharType="separate"/>
      </w:r>
      <w:r w:rsidR="00B255F3" w:rsidRPr="002A6BF2">
        <w:rPr>
          <w:noProof/>
          <w:lang w:val="en-US"/>
        </w:rPr>
        <w:t>(Kallscheuer et al., 2016)</w:t>
      </w:r>
      <w:r w:rsidR="00FD29E5" w:rsidRPr="002A6BF2">
        <w:rPr>
          <w:lang w:val="en-US"/>
        </w:rPr>
        <w:fldChar w:fldCharType="end"/>
      </w:r>
      <w:r w:rsidR="003C4E31" w:rsidRPr="002A6BF2">
        <w:rPr>
          <w:lang w:val="en-US"/>
        </w:rPr>
        <w:t>)</w:t>
      </w:r>
      <w:r w:rsidR="005E5270" w:rsidRPr="002A6BF2">
        <w:rPr>
          <w:lang w:val="en-US"/>
        </w:rPr>
        <w:t xml:space="preserve"> or pathogenic </w:t>
      </w:r>
      <w:r w:rsidR="005E5270" w:rsidRPr="002A6BF2">
        <w:rPr>
          <w:i/>
          <w:lang w:val="en-US"/>
        </w:rPr>
        <w:t>Mycobacterium avium</w:t>
      </w:r>
      <w:r w:rsidR="005E5270" w:rsidRPr="002A6BF2">
        <w:rPr>
          <w:lang w:val="en-US"/>
        </w:rPr>
        <w:t xml:space="preserve"> (22 µM </w:t>
      </w:r>
      <w:r w:rsidR="005E5270" w:rsidRPr="002A6BF2">
        <w:rPr>
          <w:lang w:val="en-US"/>
        </w:rPr>
        <w:fldChar w:fldCharType="begin" w:fldLock="1"/>
      </w:r>
      <w:r w:rsidR="00D40894" w:rsidRPr="002A6BF2">
        <w:rPr>
          <w:lang w:val="en-US"/>
        </w:rPr>
        <w:instrText>ADDIN CSL_CITATION {"citationItems":[{"id":"ITEM-1","itemData":{"DOI":"10.1007/BF01573466","ISSN":"03438651","abstract":"Mycobacterium avium is an opportunistic pathogen that may cause either localized or, in persons with acquired immune deficiency syndrome (AIDS), disseminated disease. Under certain conditions M. avium exhibits a requirement for fatty acid for maximum production of colony-forming units (CFU). However, cerulenin, a drug that inhibits fatty acid synthetase, inhibited the growth of M. avium LM1 (serovar 1) with a minimal inhibitory concentration of 10 μg/ml regardless of oleic acid supplementation at 50 μg/ml. Cerulenin at 10 μg/ml also inhibited the growth of five other strains of M. avium isolated from AIDS patients. Octanoate, oleate, and palmitate, individually or in two-way combinations, were tested for ability to reverse the effect of cerulenin. Octanoate at 50 μg/ml could reverse the bactericidal effect of cerulenin at 10 μg/ml and the bacteriostatic effect of the drug at 5 μg/ml. Because cerulenin when effectively inhibiting production of CFU also prevented cell elongation, the data suggest that octanoate, or a metabolic product, is critical to cell division of M. avium. © 1988 Springer-Verlag New York Inc.","author":[{"dropping-particle":"","family":"McCarthy","given":"Charlotte M.","non-dropping-particle":"","parse-names":false,"suffix":""}],"container-title":"Current Microbiology","id":"ITEM-1","issue":"3","issued":{"date-parts":[["1988"]]},"page":"121-125","title":"Reversal of cerulenin inhibition of &lt;i&gt;Mycobacterium avium&lt;/i&gt; by octanoate","type":"article-journal","volume":"17"},"uris":["http://www.mendeley.com/documents/?uuid=7e225048-7a1f-49cc-8eac-180df0c2654d"]}],"mendeley":{"formattedCitation":"(McCarthy, 1988)","plainTextFormattedCitation":"(McCarthy, 1988)","previouslyFormattedCitation":"(McCarthy, 1988)"},"properties":{"noteIndex":0},"schema":"https://github.com/citation-style-language/schema/raw/master/csl-citation.json"}</w:instrText>
      </w:r>
      <w:r w:rsidR="005E5270" w:rsidRPr="002A6BF2">
        <w:rPr>
          <w:lang w:val="en-US"/>
        </w:rPr>
        <w:fldChar w:fldCharType="separate"/>
      </w:r>
      <w:r w:rsidR="00B255F3" w:rsidRPr="002A6BF2">
        <w:rPr>
          <w:noProof/>
          <w:lang w:val="en-US"/>
        </w:rPr>
        <w:t>(McCarthy, 1988)</w:t>
      </w:r>
      <w:r w:rsidR="005E5270" w:rsidRPr="002A6BF2">
        <w:rPr>
          <w:lang w:val="en-US"/>
        </w:rPr>
        <w:fldChar w:fldCharType="end"/>
      </w:r>
      <w:r w:rsidR="005E5270" w:rsidRPr="002A6BF2">
        <w:rPr>
          <w:lang w:val="en-US"/>
        </w:rPr>
        <w:t>)</w:t>
      </w:r>
      <w:r w:rsidR="003C4E31" w:rsidRPr="002A6BF2">
        <w:rPr>
          <w:lang w:val="en-US"/>
        </w:rPr>
        <w:t xml:space="preserve">, likely reflecting the high tolerance of </w:t>
      </w:r>
      <w:r w:rsidR="003C4E31" w:rsidRPr="002A6BF2">
        <w:rPr>
          <w:i/>
          <w:iCs/>
          <w:lang w:val="en-US"/>
        </w:rPr>
        <w:t>P. taiwanensis</w:t>
      </w:r>
      <w:r w:rsidR="00754B70" w:rsidRPr="002A6BF2">
        <w:rPr>
          <w:iCs/>
          <w:lang w:val="en-US"/>
        </w:rPr>
        <w:t xml:space="preserve"> to chemical stress</w:t>
      </w:r>
      <w:r w:rsidR="003C4E31" w:rsidRPr="002A6BF2">
        <w:rPr>
          <w:lang w:val="en-US"/>
        </w:rPr>
        <w:t>.</w:t>
      </w:r>
      <w:r w:rsidR="009D3A21" w:rsidRPr="002A6BF2">
        <w:rPr>
          <w:lang w:val="en-US"/>
        </w:rPr>
        <w:t xml:space="preserve"> D</w:t>
      </w:r>
      <w:r w:rsidR="00300D32" w:rsidRPr="002A6BF2">
        <w:rPr>
          <w:lang w:val="en-US"/>
        </w:rPr>
        <w:t xml:space="preserve">ifferent carbon sources </w:t>
      </w:r>
      <w:r w:rsidR="00FC7350" w:rsidRPr="002A6BF2">
        <w:rPr>
          <w:lang w:val="en-US"/>
        </w:rPr>
        <w:t xml:space="preserve">in presence of cerulenin </w:t>
      </w:r>
      <w:r w:rsidR="00300D32" w:rsidRPr="002A6BF2">
        <w:rPr>
          <w:lang w:val="en-US"/>
        </w:rPr>
        <w:t xml:space="preserve">were tested since these can greatly </w:t>
      </w:r>
      <w:r w:rsidR="006B0EFD" w:rsidRPr="002A6BF2">
        <w:rPr>
          <w:lang w:val="en-US"/>
        </w:rPr>
        <w:t>affect</w:t>
      </w:r>
      <w:r w:rsidR="0065758E" w:rsidRPr="002A6BF2">
        <w:rPr>
          <w:lang w:val="en-US"/>
        </w:rPr>
        <w:t xml:space="preserve"> product</w:t>
      </w:r>
      <w:r w:rsidR="006B0EFD" w:rsidRPr="002A6BF2">
        <w:rPr>
          <w:lang w:val="en-US"/>
        </w:rPr>
        <w:t xml:space="preserve"> yields </w:t>
      </w:r>
      <w:r w:rsidR="0065758E" w:rsidRPr="002A6BF2">
        <w:rPr>
          <w:lang w:val="en-US"/>
        </w:rPr>
        <w:t>due to</w:t>
      </w:r>
      <w:r w:rsidR="006B0EFD" w:rsidRPr="002A6BF2">
        <w:rPr>
          <w:lang w:val="en-US"/>
        </w:rPr>
        <w:t xml:space="preserve"> the entry point into</w:t>
      </w:r>
      <w:r w:rsidR="0065758E" w:rsidRPr="002A6BF2">
        <w:rPr>
          <w:lang w:val="en-US"/>
        </w:rPr>
        <w:t xml:space="preserve"> the central carbon</w:t>
      </w:r>
      <w:r w:rsidR="006B0EFD" w:rsidRPr="002A6BF2">
        <w:rPr>
          <w:lang w:val="en-US"/>
        </w:rPr>
        <w:t xml:space="preserve"> metabolism</w:t>
      </w:r>
      <w:r w:rsidR="009131D6" w:rsidRPr="002A6BF2">
        <w:rPr>
          <w:lang w:val="en-US"/>
        </w:rPr>
        <w:t xml:space="preserve"> and </w:t>
      </w:r>
      <w:r w:rsidR="007B4CCF" w:rsidRPr="002A6BF2">
        <w:rPr>
          <w:lang w:val="en-US"/>
        </w:rPr>
        <w:t xml:space="preserve">consequential </w:t>
      </w:r>
      <w:r w:rsidR="009131D6" w:rsidRPr="002A6BF2">
        <w:rPr>
          <w:lang w:val="en-US"/>
        </w:rPr>
        <w:t>metabolic rearrangements</w:t>
      </w:r>
      <w:r w:rsidR="00EB5EAD" w:rsidRPr="002A6BF2">
        <w:rPr>
          <w:lang w:val="en-US"/>
        </w:rPr>
        <w:t xml:space="preserve"> </w:t>
      </w:r>
      <w:r w:rsidR="00B33207" w:rsidRPr="002A6BF2">
        <w:rPr>
          <w:lang w:val="en-US"/>
        </w:rPr>
        <w:fldChar w:fldCharType="begin" w:fldLock="1"/>
      </w:r>
      <w:r w:rsidR="00675192" w:rsidRPr="002A6BF2">
        <w:rPr>
          <w:lang w:val="en-US"/>
        </w:rPr>
        <w:instrText>ADDIN CSL_CITATION {"citationItems":[{"id":"ITEM-1","itemData":{"author":[{"dropping-particle":"","family":"Otto","given":"Maike","non-dropping-particle":"","parse-names":false,"suffix":""},{"dropping-particle":"","family":"Wynands","given":"Benedikt","non-dropping-particle":"","parse-names":false,"suffix":""},{"dropping-particle":"","family":"Lenzen","given":"Christoph","non-dropping-particle":"","parse-names":false,"suffix":""},{"dropping-particle":"","family":"Filbig","given":"Melanie","non-dropping-particle":"","parse-names":false,"suffix":""},{"dropping-particle":"","family":"Blank","given":"Lars M.","non-dropping-particle":"","parse-names":false,"suffix":""},{"dropping-particle":"","family":"Wierckx","given":"Nick","non-dropping-particle":"","parse-names":false,"suffix":""}],"container-title":"Frontiers in Bioengineering and Biotechnology","id":"ITEM-1","issue":"312","issued":{"date-parts":[["2019"]]},"title":"Rational Engineering of Phenylalanine Accumulation in &lt;i&gt;Pseudomonas taiwanensis&lt;/i&gt; to Enable High-Yield Production of &lt;i&gt;Trans&lt;/i&gt;-cinnamate","type":"article-journal","volume":"7"},"uris":["http://www.mendeley.com/documents/?uuid=cc52d9b6-c3a4-4b3e-8064-c01f80200ec1"]}],"mendeley":{"formattedCitation":"(Otto et al., 2019)","plainTextFormattedCitation":"(Otto et al., 2019)","previouslyFormattedCitation":"(Otto et al., 2019)"},"properties":{"noteIndex":0},"schema":"https://github.com/citation-style-language/schema/raw/master/csl-citation.json"}</w:instrText>
      </w:r>
      <w:r w:rsidR="00B33207" w:rsidRPr="002A6BF2">
        <w:rPr>
          <w:lang w:val="en-US"/>
        </w:rPr>
        <w:fldChar w:fldCharType="separate"/>
      </w:r>
      <w:r w:rsidR="00B255F3" w:rsidRPr="002A6BF2">
        <w:rPr>
          <w:noProof/>
          <w:lang w:val="en-US"/>
        </w:rPr>
        <w:t>(Otto et al., 2019)</w:t>
      </w:r>
      <w:r w:rsidR="00B33207" w:rsidRPr="002A6BF2">
        <w:rPr>
          <w:lang w:val="en-US"/>
        </w:rPr>
        <w:fldChar w:fldCharType="end"/>
      </w:r>
      <w:r w:rsidR="00300D32" w:rsidRPr="002A6BF2">
        <w:rPr>
          <w:lang w:val="en-US"/>
        </w:rPr>
        <w:t>.</w:t>
      </w:r>
      <w:r w:rsidR="006B0EFD" w:rsidRPr="002A6BF2">
        <w:rPr>
          <w:lang w:val="en-US"/>
        </w:rPr>
        <w:t xml:space="preserve"> </w:t>
      </w:r>
      <w:r w:rsidR="00300D32" w:rsidRPr="002A6BF2">
        <w:rPr>
          <w:lang w:val="en-US"/>
        </w:rPr>
        <w:t>Indeed,</w:t>
      </w:r>
      <w:r w:rsidR="006C3441" w:rsidRPr="002A6BF2">
        <w:rPr>
          <w:lang w:val="en-US"/>
        </w:rPr>
        <w:t xml:space="preserve"> final pinosylvin titers </w:t>
      </w:r>
      <w:r w:rsidR="00300D32" w:rsidRPr="002A6BF2">
        <w:rPr>
          <w:lang w:val="en-US"/>
        </w:rPr>
        <w:t xml:space="preserve">were </w:t>
      </w:r>
      <w:r w:rsidR="006C3441" w:rsidRPr="002A6BF2">
        <w:rPr>
          <w:lang w:val="en-US"/>
        </w:rPr>
        <w:t xml:space="preserve">highly dependent on </w:t>
      </w:r>
      <w:r w:rsidR="003C4E31" w:rsidRPr="002A6BF2">
        <w:rPr>
          <w:lang w:val="en-US"/>
        </w:rPr>
        <w:t xml:space="preserve">the </w:t>
      </w:r>
      <w:r w:rsidR="006C3441" w:rsidRPr="002A6BF2">
        <w:rPr>
          <w:lang w:val="en-US"/>
        </w:rPr>
        <w:t>used carbon source</w:t>
      </w:r>
      <w:r w:rsidR="00300D32" w:rsidRPr="002A6BF2">
        <w:rPr>
          <w:lang w:val="en-US"/>
        </w:rPr>
        <w:t xml:space="preserve"> </w:t>
      </w:r>
      <w:r w:rsidR="006C3441" w:rsidRPr="002A6BF2">
        <w:rPr>
          <w:lang w:val="en-US"/>
        </w:rPr>
        <w:t>(</w:t>
      </w:r>
      <w:r w:rsidR="00325010" w:rsidRPr="002A6BF2">
        <w:rPr>
          <w:lang w:val="en-US"/>
        </w:rPr>
        <w:t>Fig.</w:t>
      </w:r>
      <w:r w:rsidR="00300D32" w:rsidRPr="002A6BF2">
        <w:rPr>
          <w:lang w:val="en-US"/>
        </w:rPr>
        <w:t xml:space="preserve"> </w:t>
      </w:r>
      <w:r w:rsidR="00704ADD" w:rsidRPr="002A6BF2">
        <w:rPr>
          <w:lang w:val="en-US"/>
        </w:rPr>
        <w:t>3</w:t>
      </w:r>
      <w:r w:rsidR="000F4401" w:rsidRPr="002A6BF2">
        <w:rPr>
          <w:lang w:val="en-US"/>
        </w:rPr>
        <w:t>A</w:t>
      </w:r>
      <w:r w:rsidR="00300D32" w:rsidRPr="002A6BF2">
        <w:rPr>
          <w:lang w:val="en-US"/>
        </w:rPr>
        <w:t>)</w:t>
      </w:r>
      <w:r w:rsidR="006C3441" w:rsidRPr="002A6BF2">
        <w:rPr>
          <w:lang w:val="en-US"/>
        </w:rPr>
        <w:t xml:space="preserve">. </w:t>
      </w:r>
      <w:r w:rsidR="0065758E" w:rsidRPr="002A6BF2">
        <w:rPr>
          <w:lang w:val="en-US"/>
        </w:rPr>
        <w:t>The use of g</w:t>
      </w:r>
      <w:r w:rsidR="00B33207" w:rsidRPr="002A6BF2">
        <w:rPr>
          <w:lang w:val="en-US"/>
        </w:rPr>
        <w:t>lycolytic substrates</w:t>
      </w:r>
      <w:r w:rsidR="008008CB" w:rsidRPr="002A6BF2">
        <w:rPr>
          <w:lang w:val="en-US"/>
        </w:rPr>
        <w:t xml:space="preserve"> </w:t>
      </w:r>
      <w:r w:rsidR="00B33207" w:rsidRPr="002A6BF2">
        <w:rPr>
          <w:lang w:val="en-US"/>
        </w:rPr>
        <w:t xml:space="preserve">like glucose and glycerol </w:t>
      </w:r>
      <w:r w:rsidR="00C55129" w:rsidRPr="002A6BF2">
        <w:rPr>
          <w:lang w:val="en-US"/>
        </w:rPr>
        <w:t>enabled</w:t>
      </w:r>
      <w:r w:rsidR="00B33207" w:rsidRPr="002A6BF2">
        <w:rPr>
          <w:lang w:val="en-US"/>
        </w:rPr>
        <w:t xml:space="preserve"> higher </w:t>
      </w:r>
      <w:r w:rsidR="00C10E1D" w:rsidRPr="002A6BF2">
        <w:rPr>
          <w:lang w:val="en-US"/>
        </w:rPr>
        <w:t xml:space="preserve">pinosylvin </w:t>
      </w:r>
      <w:r w:rsidR="00B33207" w:rsidRPr="002A6BF2">
        <w:rPr>
          <w:lang w:val="en-US"/>
        </w:rPr>
        <w:t xml:space="preserve">titers </w:t>
      </w:r>
      <w:r w:rsidR="00C10E1D" w:rsidRPr="002A6BF2">
        <w:rPr>
          <w:lang w:val="en-US"/>
        </w:rPr>
        <w:t xml:space="preserve">of 43.8 ± 0.4 </w:t>
      </w:r>
      <w:r w:rsidR="001D0F23" w:rsidRPr="002A6BF2">
        <w:rPr>
          <w:lang w:val="en-US"/>
        </w:rPr>
        <w:t>mg L</w:t>
      </w:r>
      <w:r w:rsidR="001D0F23" w:rsidRPr="002A6BF2">
        <w:rPr>
          <w:vertAlign w:val="superscript"/>
          <w:lang w:val="en-US"/>
        </w:rPr>
        <w:t>-1</w:t>
      </w:r>
      <w:r w:rsidR="001D0F23" w:rsidRPr="002A6BF2">
        <w:rPr>
          <w:lang w:val="en-US"/>
        </w:rPr>
        <w:t xml:space="preserve"> </w:t>
      </w:r>
      <w:r w:rsidR="007F74F7" w:rsidRPr="002A6BF2">
        <w:rPr>
          <w:lang w:val="en-US"/>
        </w:rPr>
        <w:t xml:space="preserve">(0.21 mM) </w:t>
      </w:r>
      <w:r w:rsidR="001D0F23" w:rsidRPr="002A6BF2">
        <w:rPr>
          <w:lang w:val="en-US"/>
        </w:rPr>
        <w:t xml:space="preserve">and </w:t>
      </w:r>
      <w:r w:rsidR="00C10E1D" w:rsidRPr="002A6BF2">
        <w:rPr>
          <w:lang w:val="en-US"/>
        </w:rPr>
        <w:t>34.4 ± 1.6</w:t>
      </w:r>
      <w:r w:rsidR="001D0F23" w:rsidRPr="002A6BF2">
        <w:rPr>
          <w:lang w:val="en-US"/>
        </w:rPr>
        <w:t xml:space="preserve"> mg L</w:t>
      </w:r>
      <w:r w:rsidR="001D0F23" w:rsidRPr="002A6BF2">
        <w:rPr>
          <w:vertAlign w:val="superscript"/>
          <w:lang w:val="en-US"/>
        </w:rPr>
        <w:t>-1</w:t>
      </w:r>
      <w:r w:rsidR="007F74F7" w:rsidRPr="002A6BF2">
        <w:rPr>
          <w:lang w:val="en-US"/>
        </w:rPr>
        <w:t xml:space="preserve"> (0.16 mM)</w:t>
      </w:r>
      <w:r w:rsidR="001D0F23" w:rsidRPr="002A6BF2">
        <w:rPr>
          <w:lang w:val="en-US"/>
        </w:rPr>
        <w:t>, respectively</w:t>
      </w:r>
      <w:r w:rsidR="00C10E1D" w:rsidRPr="002A6BF2">
        <w:rPr>
          <w:lang w:val="en-US"/>
        </w:rPr>
        <w:t>,</w:t>
      </w:r>
      <w:r w:rsidR="001D0F23" w:rsidRPr="002A6BF2">
        <w:rPr>
          <w:lang w:val="en-US"/>
        </w:rPr>
        <w:t xml:space="preserve"> </w:t>
      </w:r>
      <w:r w:rsidR="00775341" w:rsidRPr="002A6BF2">
        <w:rPr>
          <w:lang w:val="en-US"/>
        </w:rPr>
        <w:t>compared to gluconeogenic substrates like</w:t>
      </w:r>
      <w:r w:rsidR="00775341" w:rsidRPr="002A6BF2" w:rsidDel="00775341">
        <w:rPr>
          <w:lang w:val="en-US"/>
        </w:rPr>
        <w:t xml:space="preserve"> </w:t>
      </w:r>
      <w:r w:rsidR="00B33207" w:rsidRPr="002A6BF2">
        <w:rPr>
          <w:lang w:val="en-US"/>
        </w:rPr>
        <w:t>succinate</w:t>
      </w:r>
      <w:r w:rsidR="00C10E1D" w:rsidRPr="002A6BF2">
        <w:rPr>
          <w:lang w:val="en-US"/>
        </w:rPr>
        <w:t xml:space="preserve"> (13.2 ± 0.3 mg L</w:t>
      </w:r>
      <w:r w:rsidR="00C10E1D" w:rsidRPr="002A6BF2">
        <w:rPr>
          <w:vertAlign w:val="superscript"/>
          <w:lang w:val="en-US"/>
        </w:rPr>
        <w:t>-</w:t>
      </w:r>
      <w:r w:rsidR="00C10E1D" w:rsidRPr="002A6BF2">
        <w:rPr>
          <w:vertAlign w:val="superscript"/>
          <w:lang w:val="en-US"/>
        </w:rPr>
        <w:lastRenderedPageBreak/>
        <w:t>1</w:t>
      </w:r>
      <w:r w:rsidR="007F74F7" w:rsidRPr="002A6BF2">
        <w:rPr>
          <w:lang w:val="en-US"/>
        </w:rPr>
        <w:t>, 0.06 mM</w:t>
      </w:r>
      <w:r w:rsidR="00C10E1D" w:rsidRPr="002A6BF2">
        <w:rPr>
          <w:lang w:val="en-US"/>
        </w:rPr>
        <w:t>)</w:t>
      </w:r>
      <w:r w:rsidR="00B33207" w:rsidRPr="002A6BF2">
        <w:rPr>
          <w:lang w:val="en-US"/>
        </w:rPr>
        <w:t xml:space="preserve"> and xylose</w:t>
      </w:r>
      <w:r w:rsidR="00C10E1D" w:rsidRPr="002A6BF2">
        <w:rPr>
          <w:lang w:val="en-US"/>
        </w:rPr>
        <w:t xml:space="preserve"> (14.1 ± 0.3 mg L</w:t>
      </w:r>
      <w:r w:rsidR="00C10E1D" w:rsidRPr="002A6BF2">
        <w:rPr>
          <w:vertAlign w:val="superscript"/>
          <w:lang w:val="en-US"/>
        </w:rPr>
        <w:t>-1</w:t>
      </w:r>
      <w:r w:rsidR="007F74F7" w:rsidRPr="002A6BF2">
        <w:rPr>
          <w:lang w:val="en-US"/>
        </w:rPr>
        <w:t>, 0.07 mM</w:t>
      </w:r>
      <w:r w:rsidR="00C10E1D" w:rsidRPr="002A6BF2">
        <w:rPr>
          <w:lang w:val="en-US"/>
        </w:rPr>
        <w:t>)</w:t>
      </w:r>
      <w:r w:rsidR="006C3441" w:rsidRPr="002A6BF2">
        <w:rPr>
          <w:lang w:val="en-US"/>
        </w:rPr>
        <w:t xml:space="preserve"> (</w:t>
      </w:r>
      <w:r w:rsidR="00325010" w:rsidRPr="002A6BF2">
        <w:rPr>
          <w:lang w:val="en-US"/>
        </w:rPr>
        <w:t>Fig.</w:t>
      </w:r>
      <w:r w:rsidR="006C3441" w:rsidRPr="002A6BF2">
        <w:rPr>
          <w:lang w:val="en-US"/>
        </w:rPr>
        <w:t xml:space="preserve"> </w:t>
      </w:r>
      <w:r w:rsidR="007E6F0B" w:rsidRPr="002A6BF2">
        <w:rPr>
          <w:lang w:val="en-US"/>
        </w:rPr>
        <w:t>3</w:t>
      </w:r>
      <w:r w:rsidR="006C3441" w:rsidRPr="002A6BF2">
        <w:rPr>
          <w:lang w:val="en-US"/>
        </w:rPr>
        <w:t>)</w:t>
      </w:r>
      <w:r w:rsidR="00B33207" w:rsidRPr="002A6BF2">
        <w:rPr>
          <w:lang w:val="en-US"/>
        </w:rPr>
        <w:t xml:space="preserve"> which </w:t>
      </w:r>
      <w:r w:rsidR="009F65A0" w:rsidRPr="002A6BF2">
        <w:rPr>
          <w:lang w:val="en-US"/>
        </w:rPr>
        <w:t>enter central metabolism in the TCA cycle</w:t>
      </w:r>
      <w:r w:rsidR="00775341" w:rsidRPr="002A6BF2">
        <w:rPr>
          <w:lang w:val="en-US"/>
        </w:rPr>
        <w:t xml:space="preserve"> </w:t>
      </w:r>
      <w:r w:rsidR="00775341" w:rsidRPr="002A6BF2">
        <w:rPr>
          <w:lang w:val="en-US"/>
        </w:rPr>
        <w:fldChar w:fldCharType="begin" w:fldLock="1"/>
      </w:r>
      <w:r w:rsidR="00EE3DD5" w:rsidRPr="002A6BF2">
        <w:rPr>
          <w:lang w:val="en-US"/>
        </w:rPr>
        <w:instrText>ADDIN CSL_CITATION {"citationItems":[{"id":"ITEM-1","itemData":{"DOI":"10.1111/1462-2920.12537","ISSN":"14622920","abstract":"The natural ability of Pseudomonas taiwanensis VLB120 to use xylose as sole carbon and energy source offers a high potential for sustainable industrial biotechnology. In general, three xylose assimilation routes are reported for bacteria. To elaborate the metabolic capacity of P.taiwanensis VLB120 and to identify potential targets for metabolic engineering, an in silico/in vivo experiment was designed, allowing for discrimination between these pathways. Kinetics of glucose and xylose degradation in P.taiwanensis VLB120 was determined and the underlying stoichiometry was investigated by genome-based metabolic modelling and tracer studies using stable isotope labelling. Additionally, reverse transcription quantitative polymerase chain reaction experiments have been performed to link physiology to the genomic inventory. Based on in silico experiments, a labelling strategy was developed, ensuring a measurable and unique13C-labelling distribution in proteinogenic amino acids for every possible distribution between the different xylose metabolization routes. A comparison with in vivo results allows the conclusion that xylose is metabolized by P.taiwanensis VLB120 via the Weimberg pathway. Transcriptomic and physiological studies point to the biotransformation of xylose to xylonate by glucose dehydrogenase. The kinetics of this enzyme is also responsible for the preference of glucose as carbon source by cells growing in the presence of glucose and xylose.","author":[{"dropping-particle":"","family":"Köhler","given":"Kirsten A.K.","non-dropping-particle":"","parse-names":false,"suffix":""},{"dropping-particle":"","family":"Blank","given":"Lars M.","non-dropping-particle":"","parse-names":false,"suffix":""},{"dropping-particle":"","family":"Frick","given":"Oliver","non-dropping-particle":"","parse-names":false,"suffix":""},{"dropping-particle":"","family":"Schmid","given":"Andreas","non-dropping-particle":"","parse-names":false,"suffix":""}],"container-title":"Environmental Microbiology","id":"ITEM-1","issue":"1","issued":{"date-parts":[["2015"]]},"page":"156-170","title":"D-Xylose assimilation via the Weimberg pathway by solvent-tolerant &lt;i&gt;Pseudomonas taiwanensis&lt;/i&gt; VLB120","type":"article-journal","volume":"17"},"uris":["http://www.mendeley.com/documents/?uuid=4a30b0d9-a7c0-4b02-99a7-3e17853072c7"]}],"mendeley":{"formattedCitation":"(Köhler et al., 2015)","plainTextFormattedCitation":"(Köhler et al., 2015)","previouslyFormattedCitation":"(Köhler et al., 2015)"},"properties":{"noteIndex":0},"schema":"https://github.com/citation-style-language/schema/raw/master/csl-citation.json"}</w:instrText>
      </w:r>
      <w:r w:rsidR="00775341" w:rsidRPr="002A6BF2">
        <w:rPr>
          <w:lang w:val="en-US"/>
        </w:rPr>
        <w:fldChar w:fldCharType="separate"/>
      </w:r>
      <w:r w:rsidR="00667817" w:rsidRPr="002A6BF2">
        <w:rPr>
          <w:noProof/>
          <w:lang w:val="en-US"/>
        </w:rPr>
        <w:t>(Köhler et al., 2015)</w:t>
      </w:r>
      <w:r w:rsidR="00775341" w:rsidRPr="002A6BF2">
        <w:rPr>
          <w:lang w:val="en-US"/>
        </w:rPr>
        <w:fldChar w:fldCharType="end"/>
      </w:r>
      <w:r w:rsidR="00B33207" w:rsidRPr="002A6BF2">
        <w:rPr>
          <w:lang w:val="en-US"/>
        </w:rPr>
        <w:t xml:space="preserve">. </w:t>
      </w:r>
      <w:r w:rsidR="00A173FC" w:rsidRPr="002A6BF2">
        <w:rPr>
          <w:lang w:val="en-US"/>
        </w:rPr>
        <w:t>Glucose enabled</w:t>
      </w:r>
      <w:r w:rsidR="00657B38" w:rsidRPr="002A6BF2">
        <w:rPr>
          <w:lang w:val="en-US"/>
        </w:rPr>
        <w:t xml:space="preserve"> high</w:t>
      </w:r>
      <w:r w:rsidR="009F65A0" w:rsidRPr="002A6BF2">
        <w:rPr>
          <w:lang w:val="en-US"/>
        </w:rPr>
        <w:t>er</w:t>
      </w:r>
      <w:r w:rsidR="00657B38" w:rsidRPr="002A6BF2">
        <w:rPr>
          <w:lang w:val="en-US"/>
        </w:rPr>
        <w:t xml:space="preserve"> </w:t>
      </w:r>
      <w:r w:rsidR="00BB7E94" w:rsidRPr="002A6BF2">
        <w:rPr>
          <w:lang w:val="en-US"/>
        </w:rPr>
        <w:t xml:space="preserve">pinosylvin </w:t>
      </w:r>
      <w:r w:rsidR="00657B38" w:rsidRPr="002A6BF2">
        <w:rPr>
          <w:lang w:val="en-US"/>
        </w:rPr>
        <w:t>titers than glyc</w:t>
      </w:r>
      <w:r w:rsidR="009F65A0" w:rsidRPr="002A6BF2">
        <w:rPr>
          <w:lang w:val="en-US"/>
        </w:rPr>
        <w:t>er</w:t>
      </w:r>
      <w:r w:rsidR="00657B38" w:rsidRPr="002A6BF2">
        <w:rPr>
          <w:lang w:val="en-US"/>
        </w:rPr>
        <w:t>ol</w:t>
      </w:r>
      <w:r w:rsidR="00BB7E94" w:rsidRPr="002A6BF2">
        <w:rPr>
          <w:lang w:val="en-US"/>
        </w:rPr>
        <w:t xml:space="preserve"> </w:t>
      </w:r>
      <w:r w:rsidR="005864E6" w:rsidRPr="002A6BF2">
        <w:rPr>
          <w:lang w:val="en-US"/>
        </w:rPr>
        <w:t>under the tested conditions</w:t>
      </w:r>
      <w:r w:rsidR="00657B38" w:rsidRPr="002A6BF2">
        <w:rPr>
          <w:lang w:val="en-US"/>
        </w:rPr>
        <w:t>.</w:t>
      </w:r>
      <w:r w:rsidR="009F5775" w:rsidRPr="002A6BF2">
        <w:rPr>
          <w:lang w:val="en-US"/>
        </w:rPr>
        <w:t xml:space="preserve"> </w:t>
      </w:r>
      <w:r w:rsidR="00124B09" w:rsidRPr="002A6BF2">
        <w:rPr>
          <w:lang w:val="en-US"/>
        </w:rPr>
        <w:t>Interestingly, not just pinosylvin, but also cinnamate titers were lower on glycerol</w:t>
      </w:r>
      <w:r w:rsidR="003C4E31" w:rsidRPr="002A6BF2">
        <w:rPr>
          <w:lang w:val="en-US"/>
        </w:rPr>
        <w:t xml:space="preserve"> </w:t>
      </w:r>
      <w:r w:rsidR="00124B09" w:rsidRPr="002A6BF2">
        <w:rPr>
          <w:lang w:val="en-US"/>
        </w:rPr>
        <w:t xml:space="preserve">than on glucose </w:t>
      </w:r>
      <w:r w:rsidR="00BB7E94" w:rsidRPr="002A6BF2">
        <w:rPr>
          <w:lang w:val="en-US"/>
        </w:rPr>
        <w:t xml:space="preserve">in </w:t>
      </w:r>
      <w:r w:rsidR="003C4E31" w:rsidRPr="002A6BF2">
        <w:rPr>
          <w:lang w:val="en-US"/>
        </w:rPr>
        <w:t>the cerulenin-</w:t>
      </w:r>
      <w:r w:rsidR="00BB7E94" w:rsidRPr="002A6BF2">
        <w:rPr>
          <w:lang w:val="en-US"/>
        </w:rPr>
        <w:t>inhibited bioconversion</w:t>
      </w:r>
      <w:r w:rsidR="003C4E31" w:rsidRPr="002A6BF2">
        <w:rPr>
          <w:lang w:val="en-US"/>
        </w:rPr>
        <w:t xml:space="preserve"> tested here (</w:t>
      </w:r>
      <w:r w:rsidR="00325010" w:rsidRPr="002A6BF2">
        <w:rPr>
          <w:lang w:val="en-US"/>
        </w:rPr>
        <w:t>Fig.</w:t>
      </w:r>
      <w:r w:rsidR="003C4E31" w:rsidRPr="002A6BF2">
        <w:rPr>
          <w:lang w:val="en-US"/>
        </w:rPr>
        <w:t xml:space="preserve"> </w:t>
      </w:r>
      <w:r w:rsidR="00704ADD" w:rsidRPr="002A6BF2">
        <w:rPr>
          <w:lang w:val="en-US"/>
        </w:rPr>
        <w:t>3</w:t>
      </w:r>
      <w:r w:rsidR="003C4E31" w:rsidRPr="002A6BF2">
        <w:rPr>
          <w:lang w:val="en-US"/>
        </w:rPr>
        <w:t>B).</w:t>
      </w:r>
      <w:r w:rsidR="00182F15" w:rsidRPr="002A6BF2">
        <w:rPr>
          <w:lang w:val="en-US"/>
        </w:rPr>
        <w:t xml:space="preserve"> </w:t>
      </w:r>
      <w:r w:rsidR="009D3A21" w:rsidRPr="002A6BF2">
        <w:rPr>
          <w:lang w:val="en-US"/>
        </w:rPr>
        <w:t xml:space="preserve">This is contrary to cinnamate yields of the parent strain, which </w:t>
      </w:r>
      <w:r w:rsidR="00FC7350" w:rsidRPr="002A6BF2">
        <w:rPr>
          <w:lang w:val="en-US"/>
        </w:rPr>
        <w:t xml:space="preserve">were </w:t>
      </w:r>
      <w:r w:rsidR="009D3A21" w:rsidRPr="002A6BF2">
        <w:rPr>
          <w:lang w:val="en-US"/>
        </w:rPr>
        <w:t xml:space="preserve">higher on glycerol </w:t>
      </w:r>
      <w:r w:rsidR="009D3A21" w:rsidRPr="002A6BF2">
        <w:rPr>
          <w:lang w:val="en-US"/>
        </w:rPr>
        <w:fldChar w:fldCharType="begin" w:fldLock="1"/>
      </w:r>
      <w:r w:rsidR="00675192" w:rsidRPr="002A6BF2">
        <w:rPr>
          <w:lang w:val="en-US"/>
        </w:rPr>
        <w:instrText>ADDIN CSL_CITATION {"citationItems":[{"id":"ITEM-1","itemData":{"author":[{"dropping-particle":"","family":"Otto","given":"Maike","non-dropping-particle":"","parse-names":false,"suffix":""},{"dropping-particle":"","family":"Wynands","given":"Benedikt","non-dropping-particle":"","parse-names":false,"suffix":""},{"dropping-particle":"","family":"Lenzen","given":"Christoph","non-dropping-particle":"","parse-names":false,"suffix":""},{"dropping-particle":"","family":"Filbig","given":"Melanie","non-dropping-particle":"","parse-names":false,"suffix":""},{"dropping-particle":"","family":"Blank","given":"Lars M.","non-dropping-particle":"","parse-names":false,"suffix":""},{"dropping-particle":"","family":"Wierckx","given":"Nick","non-dropping-particle":"","parse-names":false,"suffix":""}],"container-title":"Frontiers in Bioengineering and Biotechnology","id":"ITEM-1","issue":"312","issued":{"date-parts":[["2019"]]},"title":"Rational Engineering of Phenylalanine Accumulation in &lt;i&gt;Pseudomonas taiwanensis&lt;/i&gt; to Enable High-Yield Production of &lt;i&gt;Trans&lt;/i&gt;-cinnamate","type":"article-journal","volume":"7"},"uris":["http://www.mendeley.com/documents/?uuid=cc52d9b6-c3a4-4b3e-8064-c01f80200ec1"]}],"mendeley":{"formattedCitation":"(Otto et al., 2019)","plainTextFormattedCitation":"(Otto et al., 2019)","previouslyFormattedCitation":"(Otto et al., 2019)"},"properties":{"noteIndex":0},"schema":"https://github.com/citation-style-language/schema/raw/master/csl-citation.json"}</w:instrText>
      </w:r>
      <w:r w:rsidR="009D3A21" w:rsidRPr="002A6BF2">
        <w:rPr>
          <w:lang w:val="en-US"/>
        </w:rPr>
        <w:fldChar w:fldCharType="separate"/>
      </w:r>
      <w:r w:rsidR="009D3A21" w:rsidRPr="002A6BF2">
        <w:rPr>
          <w:noProof/>
          <w:lang w:val="en-US"/>
        </w:rPr>
        <w:t>(Otto et al., 2019)</w:t>
      </w:r>
      <w:r w:rsidR="009D3A21" w:rsidRPr="002A6BF2">
        <w:rPr>
          <w:lang w:val="en-US"/>
        </w:rPr>
        <w:fldChar w:fldCharType="end"/>
      </w:r>
      <w:r w:rsidR="009D3A21" w:rsidRPr="002A6BF2">
        <w:rPr>
          <w:lang w:val="en-US"/>
        </w:rPr>
        <w:t xml:space="preserve">. </w:t>
      </w:r>
      <w:r w:rsidR="00182F15" w:rsidRPr="002A6BF2">
        <w:rPr>
          <w:lang w:val="en-US"/>
        </w:rPr>
        <w:t xml:space="preserve">Titers reached </w:t>
      </w:r>
      <w:r w:rsidR="000F4401" w:rsidRPr="002A6BF2">
        <w:rPr>
          <w:lang w:val="en-US"/>
        </w:rPr>
        <w:t xml:space="preserve">on </w:t>
      </w:r>
      <w:r w:rsidR="00182F15" w:rsidRPr="002A6BF2">
        <w:rPr>
          <w:lang w:val="en-US"/>
        </w:rPr>
        <w:t>succinate and xylose differ in their cinnamate formation but not in pinosylvin production.</w:t>
      </w:r>
      <w:r w:rsidR="003C4E31" w:rsidRPr="002A6BF2">
        <w:rPr>
          <w:lang w:val="en-US"/>
        </w:rPr>
        <w:t xml:space="preserve"> </w:t>
      </w:r>
      <w:r w:rsidR="00182F15" w:rsidRPr="002A6BF2">
        <w:rPr>
          <w:lang w:val="en-US"/>
        </w:rPr>
        <w:t>A</w:t>
      </w:r>
      <w:r w:rsidR="003C4E31" w:rsidRPr="002A6BF2">
        <w:rPr>
          <w:lang w:val="en-US"/>
        </w:rPr>
        <w:t xml:space="preserve">n excess of cinnamate was produced under all tested conditions, </w:t>
      </w:r>
      <w:r w:rsidR="009F5775" w:rsidRPr="002A6BF2">
        <w:rPr>
          <w:lang w:val="en-US"/>
        </w:rPr>
        <w:t>indicating that malonyl-CoA availability, rather than aromatics production, is the main limiting factor.</w:t>
      </w:r>
      <w:r w:rsidR="008008CB" w:rsidRPr="002A6BF2">
        <w:rPr>
          <w:lang w:val="en-US"/>
        </w:rPr>
        <w:t xml:space="preserve"> </w:t>
      </w:r>
      <w:r w:rsidR="00E32068" w:rsidRPr="002A6BF2">
        <w:rPr>
          <w:lang w:val="en-US"/>
        </w:rPr>
        <w:t>Addition of form</w:t>
      </w:r>
      <w:r w:rsidR="009F5775" w:rsidRPr="002A6BF2">
        <w:rPr>
          <w:lang w:val="en-US"/>
        </w:rPr>
        <w:t>ic acid</w:t>
      </w:r>
      <w:r w:rsidR="00654E6D" w:rsidRPr="002A6BF2">
        <w:rPr>
          <w:lang w:val="en-US"/>
        </w:rPr>
        <w:t xml:space="preserve"> </w:t>
      </w:r>
      <w:r w:rsidR="00182F15" w:rsidRPr="002A6BF2">
        <w:rPr>
          <w:lang w:val="en-US"/>
        </w:rPr>
        <w:t xml:space="preserve">as an </w:t>
      </w:r>
      <w:r w:rsidR="005C7716" w:rsidRPr="002A6BF2">
        <w:rPr>
          <w:lang w:val="en-US"/>
        </w:rPr>
        <w:t xml:space="preserve">auxiliary </w:t>
      </w:r>
      <w:r w:rsidR="00182F15" w:rsidRPr="002A6BF2">
        <w:rPr>
          <w:lang w:val="en-US"/>
        </w:rPr>
        <w:t xml:space="preserve">energy-yielding substrate </w:t>
      </w:r>
      <w:r w:rsidR="00654E6D" w:rsidRPr="002A6BF2">
        <w:rPr>
          <w:lang w:val="en-US"/>
        </w:rPr>
        <w:t>to glucose</w:t>
      </w:r>
      <w:r w:rsidR="00E32068" w:rsidRPr="002A6BF2">
        <w:rPr>
          <w:lang w:val="en-US"/>
        </w:rPr>
        <w:t xml:space="preserve"> increase</w:t>
      </w:r>
      <w:r w:rsidR="0065758E" w:rsidRPr="002A6BF2">
        <w:rPr>
          <w:lang w:val="en-US"/>
        </w:rPr>
        <w:t>d the</w:t>
      </w:r>
      <w:r w:rsidR="00E32068" w:rsidRPr="002A6BF2">
        <w:rPr>
          <w:lang w:val="en-US"/>
        </w:rPr>
        <w:t xml:space="preserve"> titer </w:t>
      </w:r>
      <w:r w:rsidR="009925F7" w:rsidRPr="002A6BF2">
        <w:rPr>
          <w:lang w:val="en-US"/>
        </w:rPr>
        <w:t xml:space="preserve">significantly </w:t>
      </w:r>
      <w:r w:rsidR="00E32068" w:rsidRPr="002A6BF2">
        <w:rPr>
          <w:lang w:val="en-US"/>
        </w:rPr>
        <w:t xml:space="preserve">by </w:t>
      </w:r>
      <w:r w:rsidR="00CD227E" w:rsidRPr="002A6BF2">
        <w:rPr>
          <w:lang w:val="en-US"/>
        </w:rPr>
        <w:t>22</w:t>
      </w:r>
      <w:r w:rsidR="00E32068" w:rsidRPr="002A6BF2">
        <w:rPr>
          <w:lang w:val="en-US"/>
        </w:rPr>
        <w:t>% although</w:t>
      </w:r>
      <w:r w:rsidR="00124B09" w:rsidRPr="002A6BF2">
        <w:rPr>
          <w:lang w:val="en-US"/>
        </w:rPr>
        <w:t xml:space="preserve"> only 5.6% </w:t>
      </w:r>
      <w:r w:rsidR="00E32068" w:rsidRPr="002A6BF2">
        <w:rPr>
          <w:lang w:val="en-US"/>
        </w:rPr>
        <w:t xml:space="preserve">additional carbon </w:t>
      </w:r>
      <w:r w:rsidR="00124B09" w:rsidRPr="002A6BF2">
        <w:rPr>
          <w:lang w:val="en-US"/>
        </w:rPr>
        <w:t xml:space="preserve">was added as </w:t>
      </w:r>
      <w:r w:rsidR="00E32068" w:rsidRPr="002A6BF2">
        <w:rPr>
          <w:lang w:val="en-US"/>
        </w:rPr>
        <w:t>formic acid</w:t>
      </w:r>
      <w:r w:rsidR="003B39E2" w:rsidRPr="002A6BF2">
        <w:rPr>
          <w:lang w:val="en-US"/>
        </w:rPr>
        <w:t xml:space="preserve">. </w:t>
      </w:r>
      <w:r w:rsidR="00124B09" w:rsidRPr="002A6BF2">
        <w:rPr>
          <w:lang w:val="en-US"/>
        </w:rPr>
        <w:t>The formic acid a</w:t>
      </w:r>
      <w:r w:rsidR="003B39E2" w:rsidRPr="002A6BF2">
        <w:rPr>
          <w:lang w:val="en-US"/>
        </w:rPr>
        <w:t>lter</w:t>
      </w:r>
      <w:r w:rsidR="00124B09" w:rsidRPr="002A6BF2">
        <w:rPr>
          <w:lang w:val="en-US"/>
        </w:rPr>
        <w:t>s</w:t>
      </w:r>
      <w:r w:rsidR="003B39E2" w:rsidRPr="002A6BF2">
        <w:rPr>
          <w:lang w:val="en-US"/>
        </w:rPr>
        <w:t xml:space="preserve"> the </w:t>
      </w:r>
      <w:r w:rsidR="00507376" w:rsidRPr="002A6BF2">
        <w:rPr>
          <w:lang w:val="en-US"/>
        </w:rPr>
        <w:t xml:space="preserve">NADH </w:t>
      </w:r>
      <w:r w:rsidR="00654E6D" w:rsidRPr="002A6BF2">
        <w:rPr>
          <w:lang w:val="en-US"/>
        </w:rPr>
        <w:t>supply</w:t>
      </w:r>
      <w:r w:rsidR="003B39E2" w:rsidRPr="002A6BF2">
        <w:rPr>
          <w:lang w:val="en-US"/>
        </w:rPr>
        <w:t xml:space="preserve"> </w:t>
      </w:r>
      <w:r w:rsidR="003B39E2" w:rsidRPr="002A6BF2">
        <w:rPr>
          <w:lang w:val="en-US"/>
        </w:rPr>
        <w:fldChar w:fldCharType="begin" w:fldLock="1"/>
      </w:r>
      <w:r w:rsidR="00D40894" w:rsidRPr="002A6BF2">
        <w:rPr>
          <w:lang w:val="en-US"/>
        </w:rPr>
        <w:instrText>ADDIN CSL_CITATION {"citationItems":[{"id":"ITEM-1","itemData":{"DOI":"10.1002/elsc.201600072","ISSN":"16182863","abstract":"Pseudomonas putida efficiently utilizes many different carbon sources without the formation of byproducts even under conditions of stress. This implies a high degree of flexibility to cope with conditions that require a significantly altered distribution of carbon to either biomass or energy in the form of NADH. In the literature, co-feeding of the reduced C1 compound formate to Escherichia coli heterologously expressing the NAD+-dependent formate dehydrogenase of the yeast Candida boidinii was demonstrated to boost various NADH-demanding applications. Pseudomonas putida as emerging biotechnological workhorse is inherently equipped with an NAD+-dependent formate dehydrogenase encouraging us to investigate the use of formate and its effect on P. putida’s metabolism. Hence, this study provides a detailed insight into the co-utilization of formate and glucose by P. putida. Our results show that the addition of formate leads to a high increase in the NADH regeneration rate resulting in a very high biomass yield on glucose. Metabolic flux analysis revealed a significant flux rerouting from catabolism to anabolism. These metabolic insights argue further for P. putida as a host for redox cofactor demanding bioprocesses.","author":[{"dropping-particle":"","family":"Zobel","given":"Sebastian","non-dropping-particle":"","parse-names":false,"suffix":""},{"dropping-particle":"","family":"Kuepper","given":"Jannis","non-dropping-particle":"","parse-names":false,"suffix":""},{"dropping-particle":"","family":"Ebert","given":"Birgitta","non-dropping-particle":"","parse-names":false,"suffix":""},{"dropping-particle":"","family":"Wierckx","given":"Nick","non-dropping-particle":"","parse-names":false,"suffix":""},{"dropping-particle":"","family":"Blank","given":"Lars M.","non-dropping-particle":"","parse-names":false,"suffix":""}],"container-title":"Engineering in Life Sciences","id":"ITEM-1","issue":"1","issued":{"date-parts":[["2017"]]},"page":"47-57","title":"Metabolic response of &lt;i&gt;Pseudomonas putida&lt;/i&gt; to increased NADH regeneration rates","type":"article-journal","volume":"17"},"uris":["http://www.mendeley.com/documents/?uuid=cda0aaad-3308-4eee-a944-6a386595c572"]}],"mendeley":{"formattedCitation":"(Zobel et al., 2017)","plainTextFormattedCitation":"(Zobel et al., 2017)","previouslyFormattedCitation":"(Zobel et al., 2017)"},"properties":{"noteIndex":0},"schema":"https://github.com/citation-style-language/schema/raw/master/csl-citation.json"}</w:instrText>
      </w:r>
      <w:r w:rsidR="003B39E2" w:rsidRPr="002A6BF2">
        <w:rPr>
          <w:lang w:val="en-US"/>
        </w:rPr>
        <w:fldChar w:fldCharType="separate"/>
      </w:r>
      <w:r w:rsidR="00B255F3" w:rsidRPr="002A6BF2">
        <w:rPr>
          <w:noProof/>
          <w:lang w:val="en-US"/>
        </w:rPr>
        <w:t>(Zobel et al., 2017)</w:t>
      </w:r>
      <w:r w:rsidR="003B39E2" w:rsidRPr="002A6BF2">
        <w:rPr>
          <w:lang w:val="en-US"/>
        </w:rPr>
        <w:fldChar w:fldCharType="end"/>
      </w:r>
      <w:r w:rsidR="00124B09" w:rsidRPr="002A6BF2">
        <w:rPr>
          <w:lang w:val="en-US"/>
        </w:rPr>
        <w:t>, which</w:t>
      </w:r>
      <w:r w:rsidR="003B39E2" w:rsidRPr="002A6BF2">
        <w:rPr>
          <w:lang w:val="en-US"/>
        </w:rPr>
        <w:t xml:space="preserve"> influence</w:t>
      </w:r>
      <w:r w:rsidR="00507376" w:rsidRPr="002A6BF2">
        <w:rPr>
          <w:lang w:val="en-US"/>
        </w:rPr>
        <w:t xml:space="preserve">s </w:t>
      </w:r>
      <w:r w:rsidR="00AA66A9" w:rsidRPr="002A6BF2">
        <w:rPr>
          <w:lang w:val="en-US"/>
        </w:rPr>
        <w:t>enzyme kinetics</w:t>
      </w:r>
      <w:r w:rsidR="00507376" w:rsidRPr="002A6BF2">
        <w:rPr>
          <w:lang w:val="en-US"/>
        </w:rPr>
        <w:t xml:space="preserve"> </w:t>
      </w:r>
      <w:r w:rsidR="004F2E38" w:rsidRPr="002A6BF2">
        <w:rPr>
          <w:lang w:val="en-US"/>
        </w:rPr>
        <w:t xml:space="preserve">of central metabolism </w:t>
      </w:r>
      <w:r w:rsidR="00AA66A9" w:rsidRPr="002A6BF2">
        <w:rPr>
          <w:lang w:val="en-US"/>
        </w:rPr>
        <w:fldChar w:fldCharType="begin" w:fldLock="1"/>
      </w:r>
      <w:r w:rsidR="00D40894" w:rsidRPr="002A6BF2">
        <w:rPr>
          <w:lang w:val="en-US"/>
        </w:rPr>
        <w:instrText>ADDIN CSL_CITATION {"citationItems":[{"id":"ITEM-1","itemData":{"DOI":"10.1016/j.jsb.2010.10.008","ISSN":"10478477","abstract":"2-Methylcitric acid (2-MCA) cycle is one of the well studied pathways for the utilization of propionate as a source of carbon and energy in bacteria such as Salmonella typhimurium and Escherichia coli. 2-Methylcitrate synthase (2-MCS) catalyzes the conversion of oxaloacetate and propionyl-CoA to 2-methylcitrate and CoA in the second step of 2-MCA cycle. Here, we report the X-ray crystal structure of S. typhimurium 2-MCS (StPrpC) at 2.4. Å resolution and its functional characterization. StPrpC was found to utilize propionyl-CoA more efficiently than acetyl-CoA or butyryl-CoA. The polypeptide fold and the catalytic residues of StPrpC are conserved in citrate synthases (CSs) suggesting similarities in their functional mechanisms. In the triclinic P1 cell, StPrpC molecules were organized as decamers composed of five identical dimer units. In solution, StPrpC was in a dimeric form at low concentrations and was converted to larger oligomers at higher concentrations. CSs are usually dimeric proteins. In Gram-negative bacteria, a hexameric form, believed to be important for regulation of activity by NADH, is also observed. Structural comparisons with hexameric E. coli CS suggested that the key residues involved in NADH binding are not conserved in StPrpC. Structural comparison with the ligand free and bound states of CSs showed that StPrpC is in a nearly closed conformation despite the absence of bound ligands. It was found that the Tyr197 and Leu324 of StPrpC are structurally equivalent to the ligand binding residues His and Val, respectively, of CSs. These substitutions might determine the specificities for acyl-CoAs of these enzymes. © 2010 Elsevier Inc.","author":[{"dropping-particle":"","family":"Chittori","given":"Sagar","non-dropping-particle":"","parse-names":false,"suffix":""},{"dropping-particle":"","family":"Savithri","given":"H. S.","non-dropping-particle":"","parse-names":false,"suffix":""},{"dropping-particle":"","family":"Murthy","given":"M. R.N.","non-dropping-particle":"","parse-names":false,"suffix":""}],"container-title":"Journal of Structural Biology","id":"ITEM-1","issue":"1","issued":{"date-parts":[["2011"]]},"page":"58-68","publisher":"Elsevier Inc.","title":"Crystal structure of &lt;i&gt;Salmonella typhimurium&lt;/i&gt; 2-methylcitrate synthase: Insights on domain movement and substrate specificity","type":"article-journal","volume":"174"},"uris":["http://www.mendeley.com/documents/?uuid=dec80922-21e5-4e0e-9488-8cdaf4e17f89"]},{"id":"ITEM-2","itemData":{"DOI":"10.1128/AEM.05588-11","ISSN":"00992240","abstract":"Adenosine phosphate and NAD cofactors play a vital role in the operation of cell metabolism, and their levels and ratios are carefully regulated in tight ranges. Perturbations of the consumption of these metabolites might have a great impact on cell metabolism and physiology. Here, we investigated the impact of increased ATP hydrolysis and NADH oxidation rates on the metabolism of Pseudomonas putida KT2440 by titration of 2,4-dinitrophenol (DNP) and overproduction of a water-forming NADH oxidase, respectively. Both perturbations resulted in a reduction of the biomass yield and, as a consequence of the uncoupling of catabolic and anabolic activities, in an amplification of the net NADH regeneration rate. However, a stimulation of the specific carbon uptake rate was observed only when P. putida was challenged with very high 2,4-dinitrophenol concentrations and was comparatively unaffected by recombinant NADH oxidase activity. This behavior contrasts with the comparably sensitive performance described, for example, for Escherichia coli or Saccharomyces cerevisiae. The apparent robustness of P. putida metabolism indicates that it possesses a certain buffering capacity and a high flexibility to adapt to and counteract different stresses without showing a distinct phenotype. These findings are important, e.g., for the development of whole-cell redox biocatalytic processes that impose equivalent burdens on the cell metabolism: stoichiometric consumption of (reduced) redox cofactors and increased energy expenditures, due to the toxicity of the biocatalytic compounds. © 2011, American Society for Microbiology.","author":[{"dropping-particle":"","family":"Ebert","given":"Birgitta E.","non-dropping-particle":"","parse-names":false,"suffix":""},{"dropping-particle":"","family":"Kurth","given":"Felix","non-dropping-particle":"","parse-names":false,"suffix":""},{"dropping-particle":"","family":"Grund","given":"Marcel","non-dropping-particle":"","parse-names":false,"suffix":""},{"dropping-particle":"","family":"Blank","given":"Lars M.","non-dropping-particle":"","parse-names":false,"suffix":""},{"dropping-particle":"","family":"Schmid","given":"Andreas","non-dropping-particle":"","parse-names":false,"suffix":""}],"container-title":"Applied and Environmental Microbiology","id":"ITEM-2","issue":"18","issued":{"date-parts":[["2011"]]},"page":"6597-6605","title":"Response of &lt;i&gt;Pseudomonas putida&lt;/i&gt; KT2440 to increased NADH and ATP demand","type":"article-journal","volume":"77"},"uris":["http://www.mendeley.com/documents/?uuid=e5f7779b-6a2c-4e01-9c6a-a81cf0e4c05d"]}],"mendeley":{"formattedCitation":"(Chittori et al., 2011; Ebert et al., 2011)","plainTextFormattedCitation":"(Chittori et al., 2011; Ebert et al., 2011)","previouslyFormattedCitation":"(Chittori et al., 2011; Ebert et al., 2011)"},"properties":{"noteIndex":0},"schema":"https://github.com/citation-style-language/schema/raw/master/csl-citation.json"}</w:instrText>
      </w:r>
      <w:r w:rsidR="00AA66A9" w:rsidRPr="002A6BF2">
        <w:rPr>
          <w:lang w:val="en-US"/>
        </w:rPr>
        <w:fldChar w:fldCharType="separate"/>
      </w:r>
      <w:r w:rsidR="00B255F3" w:rsidRPr="002A6BF2">
        <w:rPr>
          <w:noProof/>
          <w:lang w:val="en-US"/>
        </w:rPr>
        <w:t>(Chittori et al., 2011; Ebert et al., 2011)</w:t>
      </w:r>
      <w:r w:rsidR="00AA66A9" w:rsidRPr="002A6BF2">
        <w:rPr>
          <w:lang w:val="en-US"/>
        </w:rPr>
        <w:fldChar w:fldCharType="end"/>
      </w:r>
      <w:r w:rsidR="00B11639" w:rsidRPr="002A6BF2">
        <w:rPr>
          <w:lang w:val="en-US"/>
        </w:rPr>
        <w:t xml:space="preserve">, likely reducing flux into the TCA cycle and thus making more acetyl-CoA available as direct precursor of </w:t>
      </w:r>
      <w:r w:rsidR="003B39E2" w:rsidRPr="002A6BF2">
        <w:rPr>
          <w:lang w:val="en-US"/>
        </w:rPr>
        <w:t>malonyl-CoA</w:t>
      </w:r>
      <w:r w:rsidR="00E32068" w:rsidRPr="002A6BF2">
        <w:rPr>
          <w:lang w:val="en-US"/>
        </w:rPr>
        <w:t xml:space="preserve">. </w:t>
      </w:r>
      <w:r w:rsidR="008008CB" w:rsidRPr="002A6BF2">
        <w:rPr>
          <w:lang w:val="en-US"/>
        </w:rPr>
        <w:t xml:space="preserve">Octanoate </w:t>
      </w:r>
      <w:r w:rsidR="009925F7" w:rsidRPr="002A6BF2">
        <w:rPr>
          <w:lang w:val="en-US"/>
        </w:rPr>
        <w:t xml:space="preserve">is known to </w:t>
      </w:r>
      <w:r w:rsidR="008008CB" w:rsidRPr="002A6BF2">
        <w:rPr>
          <w:lang w:val="en-US"/>
        </w:rPr>
        <w:t xml:space="preserve">counteract cerulenin inhibition </w:t>
      </w:r>
      <w:r w:rsidR="009925F7" w:rsidRPr="002A6BF2">
        <w:rPr>
          <w:lang w:val="en-US"/>
        </w:rPr>
        <w:fldChar w:fldCharType="begin" w:fldLock="1"/>
      </w:r>
      <w:r w:rsidR="00D40894" w:rsidRPr="002A6BF2">
        <w:rPr>
          <w:lang w:val="en-US"/>
        </w:rPr>
        <w:instrText>ADDIN CSL_CITATION {"citationItems":[{"id":"ITEM-1","itemData":{"DOI":"10.1007/BF01573466","ISSN":"03438651","abstract":"Mycobacterium avium is an opportunistic pathogen that may cause either localized or, in persons with acquired immune deficiency syndrome (AIDS), disseminated disease. Under certain conditions M. avium exhibits a requirement for fatty acid for maximum production of colony-forming units (CFU). However, cerulenin, a drug that inhibits fatty acid synthetase, inhibited the growth of M. avium LM1 (serovar 1) with a minimal inhibitory concentration of 10 μg/ml regardless of oleic acid supplementation at 50 μg/ml. Cerulenin at 10 μg/ml also inhibited the growth of five other strains of M. avium isolated from AIDS patients. Octanoate, oleate, and palmitate, individually or in two-way combinations, were tested for ability to reverse the effect of cerulenin. Octanoate at 50 μg/ml could reverse the bactericidal effect of cerulenin at 10 μg/ml and the bacteriostatic effect of the drug at 5 μg/ml. Because cerulenin when effectively inhibiting production of CFU also prevented cell elongation, the data suggest that octanoate, or a metabolic product, is critical to cell division of M. avium. © 1988 Springer-Verlag New York Inc.","author":[{"dropping-particle":"","family":"McCarthy","given":"Charlotte M.","non-dropping-particle":"","parse-names":false,"suffix":""}],"container-title":"Current Microbiology","id":"ITEM-1","issue":"3","issued":{"date-parts":[["1988"]]},"page":"121-125","title":"Reversal of cerulenin inhibition of &lt;i&gt;Mycobacterium avium&lt;/i&gt; by octanoate","type":"article-journal","volume":"17"},"uris":["http://www.mendeley.com/documents/?uuid=7e225048-7a1f-49cc-8eac-180df0c2654d"]}],"mendeley":{"formattedCitation":"(McCarthy, 1988)","plainTextFormattedCitation":"(McCarthy, 1988)","previouslyFormattedCitation":"(McCarthy, 1988)"},"properties":{"noteIndex":0},"schema":"https://github.com/citation-style-language/schema/raw/master/csl-citation.json"}</w:instrText>
      </w:r>
      <w:r w:rsidR="009925F7" w:rsidRPr="002A6BF2">
        <w:rPr>
          <w:lang w:val="en-US"/>
        </w:rPr>
        <w:fldChar w:fldCharType="separate"/>
      </w:r>
      <w:r w:rsidR="00B255F3" w:rsidRPr="002A6BF2">
        <w:rPr>
          <w:noProof/>
          <w:lang w:val="en-US"/>
        </w:rPr>
        <w:t>(McCarthy, 1988)</w:t>
      </w:r>
      <w:r w:rsidR="009925F7" w:rsidRPr="002A6BF2">
        <w:rPr>
          <w:lang w:val="en-US"/>
        </w:rPr>
        <w:fldChar w:fldCharType="end"/>
      </w:r>
      <w:r w:rsidR="009925F7" w:rsidRPr="002A6BF2">
        <w:rPr>
          <w:noProof/>
          <w:lang w:val="en-US"/>
        </w:rPr>
        <w:t xml:space="preserve"> </w:t>
      </w:r>
      <w:r w:rsidR="009925F7" w:rsidRPr="002A6BF2">
        <w:rPr>
          <w:lang w:val="en-US"/>
        </w:rPr>
        <w:t xml:space="preserve">thereby explaining the low titer of approximately </w:t>
      </w:r>
      <w:r w:rsidR="00C10E1D" w:rsidRPr="002A6BF2">
        <w:rPr>
          <w:lang w:val="en-US"/>
        </w:rPr>
        <w:t>4 mg L</w:t>
      </w:r>
      <w:r w:rsidR="00C10E1D" w:rsidRPr="002A6BF2">
        <w:rPr>
          <w:vertAlign w:val="superscript"/>
          <w:lang w:val="en-US"/>
        </w:rPr>
        <w:t>-1</w:t>
      </w:r>
      <w:r w:rsidR="009925F7" w:rsidRPr="002A6BF2">
        <w:rPr>
          <w:lang w:val="en-US"/>
        </w:rPr>
        <w:t xml:space="preserve"> </w:t>
      </w:r>
      <w:r w:rsidR="007F74F7" w:rsidRPr="002A6BF2">
        <w:rPr>
          <w:lang w:val="en-US"/>
        </w:rPr>
        <w:t xml:space="preserve">(0.02 mM) </w:t>
      </w:r>
      <w:r w:rsidR="009925F7" w:rsidRPr="002A6BF2">
        <w:rPr>
          <w:lang w:val="en-US"/>
        </w:rPr>
        <w:t xml:space="preserve">with this </w:t>
      </w:r>
      <w:r w:rsidR="000F4401" w:rsidRPr="002A6BF2">
        <w:rPr>
          <w:lang w:val="en-US"/>
        </w:rPr>
        <w:t xml:space="preserve">carbon </w:t>
      </w:r>
      <w:r w:rsidR="009925F7" w:rsidRPr="002A6BF2">
        <w:rPr>
          <w:lang w:val="en-US"/>
        </w:rPr>
        <w:t>source</w:t>
      </w:r>
      <w:r w:rsidR="00E32068" w:rsidRPr="002A6BF2">
        <w:rPr>
          <w:lang w:val="en-US"/>
        </w:rPr>
        <w:t xml:space="preserve">. </w:t>
      </w:r>
    </w:p>
    <w:p w14:paraId="04EFC34B" w14:textId="5A595A27" w:rsidR="00293930" w:rsidRPr="002A6BF2" w:rsidRDefault="00BC3FAF" w:rsidP="00B84A00">
      <w:pPr>
        <w:spacing w:line="276" w:lineRule="auto"/>
        <w:jc w:val="both"/>
        <w:rPr>
          <w:lang w:val="en-US"/>
        </w:rPr>
      </w:pPr>
      <w:r w:rsidRPr="002A6BF2">
        <w:rPr>
          <w:lang w:val="en-US"/>
        </w:rPr>
        <w:t>In sum</w:t>
      </w:r>
      <w:r w:rsidR="009E7E86" w:rsidRPr="002A6BF2">
        <w:rPr>
          <w:lang w:val="en-US"/>
        </w:rPr>
        <w:t>mary</w:t>
      </w:r>
      <w:r w:rsidRPr="002A6BF2">
        <w:rPr>
          <w:lang w:val="en-US"/>
        </w:rPr>
        <w:t xml:space="preserve">, </w:t>
      </w:r>
      <w:r w:rsidR="009E7E86" w:rsidRPr="002A6BF2">
        <w:rPr>
          <w:lang w:val="en-US"/>
        </w:rPr>
        <w:t xml:space="preserve">the tested </w:t>
      </w:r>
      <w:r w:rsidRPr="002A6BF2">
        <w:rPr>
          <w:lang w:val="en-US"/>
        </w:rPr>
        <w:t xml:space="preserve">glycolytic substrates </w:t>
      </w:r>
      <w:r w:rsidR="009E7E86" w:rsidRPr="002A6BF2">
        <w:rPr>
          <w:lang w:val="en-US"/>
        </w:rPr>
        <w:t>enabled the</w:t>
      </w:r>
      <w:r w:rsidRPr="002A6BF2">
        <w:rPr>
          <w:lang w:val="en-US"/>
        </w:rPr>
        <w:t xml:space="preserve"> highest pinosylvin yields,</w:t>
      </w:r>
      <w:r w:rsidR="00B11639" w:rsidRPr="002A6BF2">
        <w:rPr>
          <w:lang w:val="en-US"/>
        </w:rPr>
        <w:t xml:space="preserve"> cinnamate </w:t>
      </w:r>
      <w:r w:rsidR="009E7E86" w:rsidRPr="002A6BF2">
        <w:rPr>
          <w:lang w:val="en-US"/>
        </w:rPr>
        <w:t xml:space="preserve">accumulated </w:t>
      </w:r>
      <w:r w:rsidR="00B11639" w:rsidRPr="002A6BF2">
        <w:rPr>
          <w:lang w:val="en-US"/>
        </w:rPr>
        <w:t>in all cases,</w:t>
      </w:r>
      <w:r w:rsidRPr="002A6BF2">
        <w:rPr>
          <w:lang w:val="en-US"/>
        </w:rPr>
        <w:t xml:space="preserve"> and without </w:t>
      </w:r>
      <w:r w:rsidR="009D3A21" w:rsidRPr="002A6BF2">
        <w:rPr>
          <w:lang w:val="en-US"/>
        </w:rPr>
        <w:t xml:space="preserve">the </w:t>
      </w:r>
      <w:r w:rsidRPr="002A6BF2">
        <w:rPr>
          <w:lang w:val="en-US"/>
        </w:rPr>
        <w:t>effect of cerulenin</w:t>
      </w:r>
      <w:r w:rsidR="00F5084C" w:rsidRPr="002A6BF2">
        <w:rPr>
          <w:lang w:val="en-US"/>
        </w:rPr>
        <w:t>,</w:t>
      </w:r>
      <w:r w:rsidRPr="002A6BF2">
        <w:rPr>
          <w:lang w:val="en-US"/>
        </w:rPr>
        <w:t xml:space="preserve"> pinosylvin titers </w:t>
      </w:r>
      <w:r w:rsidR="009E7E86" w:rsidRPr="002A6BF2">
        <w:rPr>
          <w:lang w:val="en-US"/>
        </w:rPr>
        <w:t xml:space="preserve">were </w:t>
      </w:r>
      <w:r w:rsidRPr="002A6BF2">
        <w:rPr>
          <w:lang w:val="en-US"/>
        </w:rPr>
        <w:t>low</w:t>
      </w:r>
      <w:r w:rsidR="009D3A21" w:rsidRPr="002A6BF2">
        <w:rPr>
          <w:lang w:val="en-US"/>
        </w:rPr>
        <w:t xml:space="preserve"> as can be seen for octanoate</w:t>
      </w:r>
      <w:r w:rsidRPr="002A6BF2">
        <w:rPr>
          <w:lang w:val="en-US"/>
        </w:rPr>
        <w:t xml:space="preserve">. The results </w:t>
      </w:r>
      <w:r w:rsidR="00B11639" w:rsidRPr="002A6BF2">
        <w:rPr>
          <w:lang w:val="en-US"/>
        </w:rPr>
        <w:t xml:space="preserve">of this proof-of-principle experiment </w:t>
      </w:r>
      <w:r w:rsidRPr="002A6BF2">
        <w:rPr>
          <w:lang w:val="en-US"/>
        </w:rPr>
        <w:t xml:space="preserve">indicate that malonyl-CoA availability is </w:t>
      </w:r>
      <w:r w:rsidRPr="002A6BF2">
        <w:rPr>
          <w:lang w:val="en-US"/>
        </w:rPr>
        <w:lastRenderedPageBreak/>
        <w:t>the main limitation in pinosylvin production and th</w:t>
      </w:r>
      <w:r w:rsidR="00B11639" w:rsidRPr="002A6BF2">
        <w:rPr>
          <w:lang w:val="en-US"/>
        </w:rPr>
        <w:t>at</w:t>
      </w:r>
      <w:r w:rsidRPr="002A6BF2">
        <w:rPr>
          <w:lang w:val="en-US"/>
        </w:rPr>
        <w:t xml:space="preserve"> FAS inhibition</w:t>
      </w:r>
      <w:r w:rsidR="00A530B4" w:rsidRPr="002A6BF2">
        <w:rPr>
          <w:lang w:val="en-US"/>
        </w:rPr>
        <w:t xml:space="preserve"> with cerulenin</w:t>
      </w:r>
      <w:r w:rsidR="00EB5EAD" w:rsidRPr="002A6BF2">
        <w:rPr>
          <w:lang w:val="en-US"/>
        </w:rPr>
        <w:t xml:space="preserve"> </w:t>
      </w:r>
      <w:r w:rsidR="00B11639" w:rsidRPr="002A6BF2">
        <w:rPr>
          <w:lang w:val="en-US"/>
        </w:rPr>
        <w:t>increases this availability</w:t>
      </w:r>
      <w:r w:rsidR="00A530B4" w:rsidRPr="002A6BF2">
        <w:rPr>
          <w:lang w:val="en-US"/>
        </w:rPr>
        <w:t xml:space="preserve"> by enabling STS to compete with native metabolism</w:t>
      </w:r>
      <w:r w:rsidR="008008CB" w:rsidRPr="002A6BF2">
        <w:rPr>
          <w:lang w:val="en-US"/>
        </w:rPr>
        <w:t>.</w:t>
      </w:r>
    </w:p>
    <w:p w14:paraId="45CBE2C4" w14:textId="68466197" w:rsidR="00E56E31" w:rsidRPr="002A6BF2" w:rsidRDefault="006852AB" w:rsidP="00B84A00">
      <w:pPr>
        <w:spacing w:line="276" w:lineRule="auto"/>
        <w:jc w:val="both"/>
        <w:rPr>
          <w:lang w:val="en-US"/>
        </w:rPr>
      </w:pPr>
      <w:r w:rsidRPr="002A6BF2">
        <w:rPr>
          <w:noProof/>
          <w:lang w:eastAsia="de-DE"/>
        </w:rPr>
        <w:drawing>
          <wp:inline distT="0" distB="0" distL="0" distR="0" wp14:anchorId="591E2CAD" wp14:editId="4D0A1129">
            <wp:extent cx="5760720" cy="42684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268470"/>
                    </a:xfrm>
                    <a:prstGeom prst="rect">
                      <a:avLst/>
                    </a:prstGeom>
                    <a:noFill/>
                    <a:ln>
                      <a:noFill/>
                    </a:ln>
                  </pic:spPr>
                </pic:pic>
              </a:graphicData>
            </a:graphic>
          </wp:inline>
        </w:drawing>
      </w:r>
    </w:p>
    <w:p w14:paraId="1AD364F5" w14:textId="7E883098" w:rsidR="006B0EFD" w:rsidRPr="002A6BF2" w:rsidRDefault="00325010" w:rsidP="00B84A00">
      <w:pPr>
        <w:spacing w:line="276" w:lineRule="auto"/>
        <w:jc w:val="both"/>
        <w:rPr>
          <w:lang w:val="en-US"/>
        </w:rPr>
      </w:pPr>
      <w:r w:rsidRPr="002A6BF2">
        <w:rPr>
          <w:lang w:val="en-US"/>
        </w:rPr>
        <w:t>Fig.</w:t>
      </w:r>
      <w:r w:rsidR="007E4422" w:rsidRPr="002A6BF2">
        <w:rPr>
          <w:lang w:val="en-US"/>
        </w:rPr>
        <w:t xml:space="preserve"> </w:t>
      </w:r>
      <w:r w:rsidR="00704ADD" w:rsidRPr="002A6BF2">
        <w:rPr>
          <w:lang w:val="en-US"/>
        </w:rPr>
        <w:t>3</w:t>
      </w:r>
      <w:r w:rsidR="007E4422" w:rsidRPr="002A6BF2">
        <w:rPr>
          <w:lang w:val="en-US"/>
        </w:rPr>
        <w:t xml:space="preserve"> </w:t>
      </w:r>
      <w:r w:rsidR="005E1C7C" w:rsidRPr="002A6BF2">
        <w:rPr>
          <w:lang w:val="en-US"/>
        </w:rPr>
        <w:t>P</w:t>
      </w:r>
      <w:r w:rsidR="007B39C1" w:rsidRPr="002A6BF2">
        <w:rPr>
          <w:lang w:val="en-US"/>
        </w:rPr>
        <w:t>inosylvin</w:t>
      </w:r>
      <w:r w:rsidR="005E1C7C" w:rsidRPr="002A6BF2">
        <w:rPr>
          <w:lang w:val="en-US"/>
        </w:rPr>
        <w:t xml:space="preserve"> (A) and cinnamate </w:t>
      </w:r>
      <w:r w:rsidR="00124B09" w:rsidRPr="002A6BF2">
        <w:rPr>
          <w:lang w:val="en-US"/>
        </w:rPr>
        <w:t xml:space="preserve">(B) </w:t>
      </w:r>
      <w:r w:rsidR="005E1C7C" w:rsidRPr="002A6BF2">
        <w:rPr>
          <w:lang w:val="en-US"/>
        </w:rPr>
        <w:t xml:space="preserve">titers </w:t>
      </w:r>
      <w:r w:rsidR="007867F7" w:rsidRPr="002A6BF2">
        <w:rPr>
          <w:lang w:val="en-US"/>
        </w:rPr>
        <w:t>from high biomass</w:t>
      </w:r>
      <w:r w:rsidR="005E1C7C" w:rsidRPr="002A6BF2">
        <w:rPr>
          <w:lang w:val="en-US"/>
        </w:rPr>
        <w:t xml:space="preserve"> </w:t>
      </w:r>
      <w:r w:rsidR="007B39C1" w:rsidRPr="002A6BF2">
        <w:rPr>
          <w:i/>
          <w:lang w:val="en-US"/>
        </w:rPr>
        <w:t>de novo</w:t>
      </w:r>
      <w:r w:rsidR="007B39C1" w:rsidRPr="002A6BF2">
        <w:rPr>
          <w:lang w:val="en-US"/>
        </w:rPr>
        <w:t xml:space="preserve"> synthesis</w:t>
      </w:r>
      <w:r w:rsidR="00907557" w:rsidRPr="002A6BF2">
        <w:rPr>
          <w:lang w:val="en-US"/>
        </w:rPr>
        <w:t xml:space="preserve"> bioconversion</w:t>
      </w:r>
      <w:r w:rsidR="007867F7" w:rsidRPr="002A6BF2">
        <w:rPr>
          <w:lang w:val="en-US"/>
        </w:rPr>
        <w:t xml:space="preserve">s </w:t>
      </w:r>
      <w:r w:rsidR="00124B09" w:rsidRPr="002A6BF2">
        <w:rPr>
          <w:lang w:val="en-US"/>
        </w:rPr>
        <w:t xml:space="preserve">using </w:t>
      </w:r>
      <w:r w:rsidR="00124B09" w:rsidRPr="002A6BF2">
        <w:rPr>
          <w:i/>
          <w:iCs/>
          <w:lang w:val="en-US"/>
        </w:rPr>
        <w:t xml:space="preserve">P. taiwanensis </w:t>
      </w:r>
      <w:r w:rsidR="00124B09" w:rsidRPr="002A6BF2">
        <w:rPr>
          <w:rFonts w:cs="Times New Roman"/>
          <w:color w:val="000000" w:themeColor="text1"/>
          <w:lang w:val="en-US"/>
        </w:rPr>
        <w:t xml:space="preserve">GRC3 </w:t>
      </w:r>
      <w:r w:rsidR="00124B09" w:rsidRPr="002A6BF2">
        <w:rPr>
          <w:rFonts w:cstheme="minorHAnsi"/>
          <w:color w:val="000000" w:themeColor="text1"/>
          <w:lang w:val="en-US"/>
        </w:rPr>
        <w:t xml:space="preserve">PHE </w:t>
      </w:r>
      <w:r w:rsidR="00124B09" w:rsidRPr="002A6BF2">
        <w:rPr>
          <w:rFonts w:cstheme="minorHAnsi"/>
          <w:i/>
          <w:color w:val="000000" w:themeColor="text1"/>
          <w:lang w:val="en-US"/>
        </w:rPr>
        <w:t>attTn7::P</w:t>
      </w:r>
      <w:r w:rsidR="00124B09" w:rsidRPr="002A6BF2">
        <w:rPr>
          <w:rFonts w:cstheme="minorHAnsi"/>
          <w:i/>
          <w:color w:val="000000" w:themeColor="text1"/>
          <w:vertAlign w:val="subscript"/>
          <w:lang w:val="en-US"/>
        </w:rPr>
        <w:t>14g</w:t>
      </w:r>
      <w:r w:rsidR="00124B09" w:rsidRPr="002A6BF2">
        <w:rPr>
          <w:rFonts w:cstheme="minorHAnsi"/>
          <w:i/>
          <w:color w:val="000000" w:themeColor="text1"/>
          <w:lang w:val="en-US"/>
        </w:rPr>
        <w:t>-his.AhSTS-Sc4CL</w:t>
      </w:r>
      <w:r w:rsidR="00124B09" w:rsidRPr="002A6BF2">
        <w:rPr>
          <w:rFonts w:cstheme="minorHAnsi"/>
          <w:i/>
          <w:color w:val="000000" w:themeColor="text1"/>
          <w:vertAlign w:val="superscript"/>
          <w:lang w:val="en-US"/>
        </w:rPr>
        <w:t>A294G</w:t>
      </w:r>
      <w:r w:rsidR="00124B09" w:rsidRPr="002A6BF2">
        <w:rPr>
          <w:rFonts w:cstheme="minorHAnsi"/>
          <w:i/>
          <w:color w:val="000000" w:themeColor="text1"/>
          <w:lang w:val="en-US"/>
        </w:rPr>
        <w:t>-</w:t>
      </w:r>
      <w:r w:rsidR="00124B09" w:rsidRPr="002A6BF2">
        <w:rPr>
          <w:rFonts w:cstheme="minorHAnsi"/>
          <w:i/>
          <w:iCs/>
          <w:color w:val="000000" w:themeColor="text1"/>
          <w:lang w:val="en-US"/>
        </w:rPr>
        <w:t>AtPAL2</w:t>
      </w:r>
      <w:r w:rsidR="00124B09" w:rsidRPr="002A6BF2">
        <w:rPr>
          <w:rFonts w:cstheme="minorHAnsi"/>
          <w:iCs/>
          <w:color w:val="000000" w:themeColor="text1"/>
          <w:lang w:val="en-US"/>
        </w:rPr>
        <w:t xml:space="preserve"> </w:t>
      </w:r>
      <w:r w:rsidR="007867F7" w:rsidRPr="002A6BF2">
        <w:rPr>
          <w:iCs/>
          <w:lang w:val="en-US"/>
        </w:rPr>
        <w:t>with</w:t>
      </w:r>
      <w:r w:rsidR="007867F7" w:rsidRPr="002A6BF2">
        <w:rPr>
          <w:lang w:val="en-US"/>
        </w:rPr>
        <w:t xml:space="preserve"> addition of 180 µM cerulenin.</w:t>
      </w:r>
      <w:r w:rsidR="00907557" w:rsidRPr="002A6BF2">
        <w:rPr>
          <w:lang w:val="en-US"/>
        </w:rPr>
        <w:t xml:space="preserve"> </w:t>
      </w:r>
      <w:r w:rsidR="007867F7" w:rsidRPr="002A6BF2">
        <w:rPr>
          <w:lang w:val="en-US"/>
        </w:rPr>
        <w:t>D</w:t>
      </w:r>
      <w:r w:rsidR="00166485" w:rsidRPr="002A6BF2">
        <w:rPr>
          <w:lang w:val="en-US"/>
        </w:rPr>
        <w:t xml:space="preserve">ifferent carbon sources </w:t>
      </w:r>
      <w:r w:rsidR="007867F7" w:rsidRPr="002A6BF2">
        <w:rPr>
          <w:lang w:val="en-US"/>
        </w:rPr>
        <w:t xml:space="preserve">were </w:t>
      </w:r>
      <w:r w:rsidR="00166485" w:rsidRPr="002A6BF2">
        <w:rPr>
          <w:lang w:val="en-US"/>
        </w:rPr>
        <w:t xml:space="preserve">applied in equal amounts of carbon (180 mM </w:t>
      </w:r>
      <w:r w:rsidR="00AC507B" w:rsidRPr="002A6BF2">
        <w:rPr>
          <w:lang w:val="en-US"/>
        </w:rPr>
        <w:t xml:space="preserve">carbon </w:t>
      </w:r>
      <w:r w:rsidR="00166485" w:rsidRPr="002A6BF2">
        <w:rPr>
          <w:lang w:val="en-US"/>
        </w:rPr>
        <w:t>atom</w:t>
      </w:r>
      <w:r w:rsidR="00AC507B" w:rsidRPr="002A6BF2">
        <w:rPr>
          <w:lang w:val="en-US"/>
        </w:rPr>
        <w:t>s</w:t>
      </w:r>
      <w:r w:rsidR="00166485" w:rsidRPr="002A6BF2">
        <w:rPr>
          <w:lang w:val="en-US"/>
        </w:rPr>
        <w:t>)</w:t>
      </w:r>
      <w:r w:rsidR="00EE33AC" w:rsidRPr="002A6BF2">
        <w:rPr>
          <w:lang w:val="en-US"/>
        </w:rPr>
        <w:t xml:space="preserve"> or plus 10 mM formate</w:t>
      </w:r>
      <w:r w:rsidR="007867F7" w:rsidRPr="002A6BF2">
        <w:rPr>
          <w:lang w:val="en-US"/>
        </w:rPr>
        <w:t>.</w:t>
      </w:r>
      <w:r w:rsidR="009274DF" w:rsidRPr="002A6BF2">
        <w:rPr>
          <w:lang w:val="en-US"/>
        </w:rPr>
        <w:t xml:space="preserve"> Cultivation</w:t>
      </w:r>
      <w:r w:rsidR="00166485" w:rsidRPr="002A6BF2">
        <w:rPr>
          <w:lang w:val="en-US"/>
        </w:rPr>
        <w:t xml:space="preserve"> </w:t>
      </w:r>
      <w:r w:rsidR="009274DF" w:rsidRPr="002A6BF2">
        <w:rPr>
          <w:lang w:val="en-US"/>
        </w:rPr>
        <w:t>in</w:t>
      </w:r>
      <w:r w:rsidR="008A1E51" w:rsidRPr="002A6BF2">
        <w:rPr>
          <w:lang w:val="en-US"/>
        </w:rPr>
        <w:t xml:space="preserve"> MSM with 1x buffer in</w:t>
      </w:r>
      <w:r w:rsidR="009274DF" w:rsidRPr="002A6BF2">
        <w:rPr>
          <w:lang w:val="en-US"/>
        </w:rPr>
        <w:t xml:space="preserve"> 1.5 mL square-well System Duetz with</w:t>
      </w:r>
      <w:r w:rsidR="00AC507B" w:rsidRPr="002A6BF2">
        <w:rPr>
          <w:lang w:val="en-US"/>
        </w:rPr>
        <w:t xml:space="preserve"> </w:t>
      </w:r>
      <w:r w:rsidR="009274DF" w:rsidRPr="002A6BF2">
        <w:rPr>
          <w:lang w:val="en-US"/>
        </w:rPr>
        <w:t xml:space="preserve">inoculation </w:t>
      </w:r>
      <w:r w:rsidR="00AC507B" w:rsidRPr="002A6BF2">
        <w:rPr>
          <w:lang w:val="en-US"/>
        </w:rPr>
        <w:t xml:space="preserve">to initial </w:t>
      </w:r>
      <w:r w:rsidR="00602517" w:rsidRPr="002A6BF2">
        <w:rPr>
          <w:lang w:val="en-US"/>
        </w:rPr>
        <w:t>OD</w:t>
      </w:r>
      <w:r w:rsidR="00602517" w:rsidRPr="002A6BF2">
        <w:rPr>
          <w:vertAlign w:val="subscript"/>
          <w:lang w:val="en-US"/>
        </w:rPr>
        <w:t>600</w:t>
      </w:r>
      <w:r w:rsidR="00602517" w:rsidRPr="002A6BF2">
        <w:rPr>
          <w:lang w:val="en-US"/>
        </w:rPr>
        <w:t xml:space="preserve"> </w:t>
      </w:r>
      <w:r w:rsidR="00AC507B" w:rsidRPr="002A6BF2">
        <w:rPr>
          <w:lang w:val="en-US"/>
        </w:rPr>
        <w:t>of</w:t>
      </w:r>
      <w:r w:rsidR="00822002" w:rsidRPr="002A6BF2">
        <w:rPr>
          <w:lang w:val="en-US"/>
        </w:rPr>
        <w:t xml:space="preserve"> </w:t>
      </w:r>
      <w:r w:rsidR="00602517" w:rsidRPr="002A6BF2">
        <w:rPr>
          <w:lang w:val="en-US"/>
        </w:rPr>
        <w:t>2 (n=</w:t>
      </w:r>
      <w:r w:rsidR="00061FD9" w:rsidRPr="002A6BF2">
        <w:rPr>
          <w:lang w:val="en-US"/>
        </w:rPr>
        <w:t>2</w:t>
      </w:r>
      <w:r w:rsidR="00602517" w:rsidRPr="002A6BF2">
        <w:rPr>
          <w:lang w:val="en-US"/>
        </w:rPr>
        <w:t>)</w:t>
      </w:r>
      <w:r w:rsidR="000B5D04" w:rsidRPr="002A6BF2">
        <w:rPr>
          <w:lang w:val="en-US"/>
        </w:rPr>
        <w:t>, sampled after 21.3 h</w:t>
      </w:r>
      <w:r w:rsidR="00822002" w:rsidRPr="002A6BF2">
        <w:rPr>
          <w:lang w:val="en-US"/>
        </w:rPr>
        <w:t>.</w:t>
      </w:r>
      <w:r w:rsidR="005E1C7C" w:rsidRPr="002A6BF2">
        <w:rPr>
          <w:lang w:val="en-US"/>
        </w:rPr>
        <w:t xml:space="preserve"> Error bars represent the standard error of the mean. </w:t>
      </w:r>
      <w:r w:rsidR="008622E3" w:rsidRPr="002A6BF2">
        <w:rPr>
          <w:lang w:val="en-US"/>
        </w:rPr>
        <w:t>Significance</w:t>
      </w:r>
      <w:r w:rsidR="00A73813" w:rsidRPr="002A6BF2">
        <w:rPr>
          <w:lang w:val="en-US"/>
        </w:rPr>
        <w:t xml:space="preserve"> (p&lt;0.05) is indicated by * (**, p</w:t>
      </w:r>
      <w:r w:rsidR="00A73813" w:rsidRPr="002A6BF2">
        <w:rPr>
          <w:rFonts w:cstheme="minorHAnsi"/>
          <w:lang w:val="en-US"/>
        </w:rPr>
        <w:t>≤</w:t>
      </w:r>
      <w:r w:rsidR="00A73813" w:rsidRPr="002A6BF2">
        <w:rPr>
          <w:lang w:val="en-US"/>
        </w:rPr>
        <w:t>0.01; ***, p</w:t>
      </w:r>
      <w:r w:rsidR="00A73813" w:rsidRPr="002A6BF2">
        <w:rPr>
          <w:rFonts w:cstheme="minorHAnsi"/>
          <w:lang w:val="en-US"/>
        </w:rPr>
        <w:t>≤</w:t>
      </w:r>
      <w:r w:rsidR="00A73813" w:rsidRPr="002A6BF2">
        <w:rPr>
          <w:lang w:val="en-US"/>
        </w:rPr>
        <w:t>0.001; ****, p</w:t>
      </w:r>
      <w:r w:rsidR="00A73813" w:rsidRPr="002A6BF2">
        <w:rPr>
          <w:rFonts w:cstheme="minorHAnsi"/>
          <w:lang w:val="en-US"/>
        </w:rPr>
        <w:t>≤</w:t>
      </w:r>
      <w:r w:rsidR="00A73813" w:rsidRPr="002A6BF2">
        <w:rPr>
          <w:lang w:val="en-US"/>
        </w:rPr>
        <w:t>0.0001) from one-way ANOVA. Abbreviation</w:t>
      </w:r>
      <w:r w:rsidR="005E1C7C" w:rsidRPr="002A6BF2">
        <w:rPr>
          <w:lang w:val="en-US"/>
        </w:rPr>
        <w:t>: ns, not significant.</w:t>
      </w:r>
      <w:r w:rsidR="00EE33AC" w:rsidRPr="002A6BF2">
        <w:rPr>
          <w:lang w:val="en-US"/>
        </w:rPr>
        <w:t xml:space="preserve"> </w:t>
      </w:r>
    </w:p>
    <w:p w14:paraId="4691D60A" w14:textId="4623C1D9" w:rsidR="005E3912" w:rsidRPr="002A6BF2" w:rsidRDefault="005E3912" w:rsidP="00B84A00">
      <w:pPr>
        <w:spacing w:line="276" w:lineRule="auto"/>
        <w:jc w:val="both"/>
        <w:rPr>
          <w:lang w:val="en-US"/>
        </w:rPr>
      </w:pPr>
    </w:p>
    <w:p w14:paraId="6C3033F1" w14:textId="0F2745C5" w:rsidR="005E3912" w:rsidRPr="002A6BF2" w:rsidRDefault="009A1DC9" w:rsidP="00B84A00">
      <w:pPr>
        <w:pStyle w:val="berschrift2"/>
        <w:numPr>
          <w:ilvl w:val="1"/>
          <w:numId w:val="11"/>
        </w:numPr>
        <w:spacing w:line="276" w:lineRule="auto"/>
        <w:rPr>
          <w:lang w:val="en-US"/>
        </w:rPr>
      </w:pPr>
      <w:r w:rsidRPr="002A6BF2">
        <w:rPr>
          <w:lang w:val="en-US"/>
        </w:rPr>
        <w:lastRenderedPageBreak/>
        <w:t>Genomic</w:t>
      </w:r>
      <w:r w:rsidR="00D476F9" w:rsidRPr="002A6BF2">
        <w:rPr>
          <w:lang w:val="en-US"/>
        </w:rPr>
        <w:t xml:space="preserve"> deletions</w:t>
      </w:r>
      <w:r w:rsidR="005E3912" w:rsidRPr="002A6BF2">
        <w:rPr>
          <w:lang w:val="en-US"/>
        </w:rPr>
        <w:t xml:space="preserve"> </w:t>
      </w:r>
      <w:r w:rsidR="00C174F4" w:rsidRPr="002A6BF2">
        <w:rPr>
          <w:lang w:val="en-US"/>
        </w:rPr>
        <w:t xml:space="preserve">to </w:t>
      </w:r>
      <w:r w:rsidR="005E3912" w:rsidRPr="002A6BF2">
        <w:rPr>
          <w:lang w:val="en-US"/>
        </w:rPr>
        <w:t>increase</w:t>
      </w:r>
      <w:r w:rsidR="00C174F4" w:rsidRPr="002A6BF2">
        <w:rPr>
          <w:lang w:val="en-US"/>
        </w:rPr>
        <w:t xml:space="preserve"> </w:t>
      </w:r>
      <w:r w:rsidR="005E3912" w:rsidRPr="002A6BF2">
        <w:rPr>
          <w:lang w:val="en-US"/>
        </w:rPr>
        <w:t>pinosylvin titers</w:t>
      </w:r>
    </w:p>
    <w:p w14:paraId="576BD7AE" w14:textId="4BDA4379" w:rsidR="00D061E3" w:rsidRPr="002A6BF2" w:rsidRDefault="009D6D7F" w:rsidP="00B84A00">
      <w:pPr>
        <w:spacing w:line="276" w:lineRule="auto"/>
        <w:jc w:val="both"/>
        <w:rPr>
          <w:lang w:val="en-US"/>
        </w:rPr>
      </w:pPr>
      <w:r w:rsidRPr="002A6BF2">
        <w:rPr>
          <w:lang w:val="en-US"/>
        </w:rPr>
        <w:t xml:space="preserve">The addition of cerulenin is </w:t>
      </w:r>
      <w:r w:rsidR="006F2EDA" w:rsidRPr="002A6BF2">
        <w:rPr>
          <w:lang w:val="en-US"/>
        </w:rPr>
        <w:t>often</w:t>
      </w:r>
      <w:r w:rsidRPr="002A6BF2">
        <w:rPr>
          <w:lang w:val="en-US"/>
        </w:rPr>
        <w:t xml:space="preserve"> more costly than the actual product of interest</w:t>
      </w:r>
      <w:r w:rsidR="00DD4635" w:rsidRPr="002A6BF2">
        <w:rPr>
          <w:lang w:val="en-US"/>
        </w:rPr>
        <w:t xml:space="preserve">, and the addition of a toxic antibiotic complicates downstream processing of products meant for human </w:t>
      </w:r>
      <w:r w:rsidR="0013482E" w:rsidRPr="002A6BF2">
        <w:rPr>
          <w:lang w:val="en-US"/>
        </w:rPr>
        <w:t>use</w:t>
      </w:r>
      <w:r w:rsidR="00DD4635" w:rsidRPr="002A6BF2">
        <w:rPr>
          <w:lang w:val="en-US"/>
        </w:rPr>
        <w:t xml:space="preserve">. </w:t>
      </w:r>
      <w:r w:rsidR="0013482E" w:rsidRPr="002A6BF2">
        <w:rPr>
          <w:lang w:val="en-US"/>
        </w:rPr>
        <w:t xml:space="preserve">Also the reached titers with growth-inhibiting cerulenin are highly influenced by the applied initial biomass </w:t>
      </w:r>
      <w:r w:rsidR="006F2EDA" w:rsidRPr="002A6BF2">
        <w:rPr>
          <w:lang w:val="en-US"/>
        </w:rPr>
        <w:t xml:space="preserve">and </w:t>
      </w:r>
      <w:r w:rsidR="0013482E" w:rsidRPr="002A6BF2">
        <w:rPr>
          <w:lang w:val="en-US"/>
        </w:rPr>
        <w:t xml:space="preserve">this increases </w:t>
      </w:r>
      <w:r w:rsidR="006F2EDA" w:rsidRPr="002A6BF2">
        <w:rPr>
          <w:lang w:val="en-US"/>
        </w:rPr>
        <w:t>complexity due to separate biomass and production</w:t>
      </w:r>
      <w:r w:rsidR="00FE35F7" w:rsidRPr="002A6BF2">
        <w:rPr>
          <w:lang w:val="en-US"/>
        </w:rPr>
        <w:t xml:space="preserve"> formation</w:t>
      </w:r>
      <w:r w:rsidR="006F2EDA" w:rsidRPr="002A6BF2">
        <w:rPr>
          <w:lang w:val="en-US"/>
        </w:rPr>
        <w:t>.</w:t>
      </w:r>
      <w:r w:rsidRPr="002A6BF2">
        <w:rPr>
          <w:lang w:val="en-US"/>
        </w:rPr>
        <w:t xml:space="preserve"> </w:t>
      </w:r>
      <w:r w:rsidR="0013482E" w:rsidRPr="002A6BF2">
        <w:rPr>
          <w:lang w:val="en-US"/>
        </w:rPr>
        <w:t xml:space="preserve">Because of this, the use of </w:t>
      </w:r>
      <w:r w:rsidR="003739C2" w:rsidRPr="002A6BF2">
        <w:rPr>
          <w:lang w:val="en-US"/>
        </w:rPr>
        <w:t>cerulenin</w:t>
      </w:r>
      <w:r w:rsidR="0013482E" w:rsidRPr="002A6BF2">
        <w:rPr>
          <w:lang w:val="en-US"/>
        </w:rPr>
        <w:t xml:space="preserve"> needs to be avoided. To this end,</w:t>
      </w:r>
      <w:r w:rsidR="003739C2" w:rsidRPr="002A6BF2">
        <w:rPr>
          <w:lang w:val="en-US"/>
        </w:rPr>
        <w:t xml:space="preserve"> rational target</w:t>
      </w:r>
      <w:r w:rsidR="00DF4B3B" w:rsidRPr="002A6BF2">
        <w:rPr>
          <w:lang w:val="en-US"/>
        </w:rPr>
        <w:t>ed</w:t>
      </w:r>
      <w:r w:rsidR="003739C2" w:rsidRPr="002A6BF2">
        <w:rPr>
          <w:lang w:val="en-US"/>
        </w:rPr>
        <w:t xml:space="preserve"> </w:t>
      </w:r>
      <w:r w:rsidR="00B1640A" w:rsidRPr="002A6BF2">
        <w:rPr>
          <w:lang w:val="en-US"/>
        </w:rPr>
        <w:t xml:space="preserve">gene </w:t>
      </w:r>
      <w:r w:rsidR="003739C2" w:rsidRPr="002A6BF2">
        <w:rPr>
          <w:lang w:val="en-US"/>
        </w:rPr>
        <w:t xml:space="preserve">deletions </w:t>
      </w:r>
      <w:r w:rsidR="00B1640A" w:rsidRPr="002A6BF2">
        <w:rPr>
          <w:lang w:val="en-US"/>
        </w:rPr>
        <w:t xml:space="preserve">were performed to </w:t>
      </w:r>
      <w:r w:rsidR="003739C2" w:rsidRPr="002A6BF2">
        <w:rPr>
          <w:lang w:val="en-US"/>
        </w:rPr>
        <w:t>increase</w:t>
      </w:r>
      <w:r w:rsidR="00B1640A" w:rsidRPr="002A6BF2">
        <w:rPr>
          <w:lang w:val="en-US"/>
        </w:rPr>
        <w:t xml:space="preserve"> the</w:t>
      </w:r>
      <w:r w:rsidR="003739C2" w:rsidRPr="002A6BF2">
        <w:rPr>
          <w:lang w:val="en-US"/>
        </w:rPr>
        <w:t xml:space="preserve"> supply of malonyl-CoA.</w:t>
      </w:r>
      <w:r w:rsidR="00C47167" w:rsidRPr="002A6BF2">
        <w:rPr>
          <w:lang w:val="en-US"/>
        </w:rPr>
        <w:t xml:space="preserve"> </w:t>
      </w:r>
      <w:r w:rsidR="00D061E3" w:rsidRPr="002A6BF2">
        <w:rPr>
          <w:lang w:val="en-US"/>
        </w:rPr>
        <w:t xml:space="preserve">Natively, </w:t>
      </w:r>
      <w:r w:rsidR="001516CA" w:rsidRPr="002A6BF2">
        <w:rPr>
          <w:lang w:val="en-US"/>
        </w:rPr>
        <w:t xml:space="preserve">a significant proportion of </w:t>
      </w:r>
      <w:r w:rsidR="00D061E3" w:rsidRPr="002A6BF2">
        <w:rPr>
          <w:lang w:val="en-US"/>
        </w:rPr>
        <w:t>glucose is oxidized in the periplasm to gluconate</w:t>
      </w:r>
      <w:r w:rsidR="0081272B" w:rsidRPr="002A6BF2">
        <w:rPr>
          <w:lang w:val="en-US"/>
        </w:rPr>
        <w:t xml:space="preserve"> by pyrroloquinoline quinone (PQQ)</w:t>
      </w:r>
      <w:r w:rsidR="0081272B" w:rsidRPr="002A6BF2">
        <w:rPr>
          <w:lang w:val="en-US"/>
        </w:rPr>
        <w:noBreakHyphen/>
        <w:t>dependent glucose dehydrogenase (G</w:t>
      </w:r>
      <w:r w:rsidR="0070559E" w:rsidRPr="002A6BF2">
        <w:rPr>
          <w:lang w:val="en-US"/>
        </w:rPr>
        <w:t>cd</w:t>
      </w:r>
      <w:r w:rsidR="0081272B" w:rsidRPr="002A6BF2">
        <w:rPr>
          <w:lang w:val="en-US"/>
        </w:rPr>
        <w:t>)</w:t>
      </w:r>
      <w:r w:rsidR="00D061E3" w:rsidRPr="002A6BF2">
        <w:rPr>
          <w:lang w:val="en-US"/>
        </w:rPr>
        <w:t>. Deletion</w:t>
      </w:r>
      <w:r w:rsidR="008A447D" w:rsidRPr="002A6BF2">
        <w:rPr>
          <w:lang w:val="en-US"/>
        </w:rPr>
        <w:t xml:space="preserve"> of</w:t>
      </w:r>
      <w:r w:rsidR="00D061E3" w:rsidRPr="002A6BF2">
        <w:rPr>
          <w:lang w:val="en-US"/>
        </w:rPr>
        <w:t xml:space="preserve"> </w:t>
      </w:r>
      <w:r w:rsidR="00F21486" w:rsidRPr="002A6BF2">
        <w:rPr>
          <w:lang w:val="en-US"/>
        </w:rPr>
        <w:t>the</w:t>
      </w:r>
      <w:r w:rsidR="00B1640A" w:rsidRPr="002A6BF2">
        <w:rPr>
          <w:lang w:val="en-US"/>
        </w:rPr>
        <w:t xml:space="preserve"> encoding gene</w:t>
      </w:r>
      <w:r w:rsidR="00F21486" w:rsidRPr="002A6BF2">
        <w:rPr>
          <w:lang w:val="en-US"/>
        </w:rPr>
        <w:t xml:space="preserve"> (</w:t>
      </w:r>
      <w:r w:rsidR="00B1640A" w:rsidRPr="002A6BF2">
        <w:rPr>
          <w:i/>
          <w:lang w:val="en-US"/>
        </w:rPr>
        <w:t>gcd</w:t>
      </w:r>
      <w:r w:rsidR="00B1640A" w:rsidRPr="002A6BF2">
        <w:rPr>
          <w:lang w:val="en-US"/>
        </w:rPr>
        <w:t xml:space="preserve">; </w:t>
      </w:r>
      <w:r w:rsidR="00F21486" w:rsidRPr="002A6BF2">
        <w:rPr>
          <w:lang w:val="en-US"/>
        </w:rPr>
        <w:t xml:space="preserve">PVLB_05240) </w:t>
      </w:r>
      <w:r w:rsidR="00DF4B3B" w:rsidRPr="002A6BF2">
        <w:rPr>
          <w:lang w:val="en-US"/>
        </w:rPr>
        <w:t>wa</w:t>
      </w:r>
      <w:r w:rsidR="00D061E3" w:rsidRPr="002A6BF2">
        <w:rPr>
          <w:lang w:val="en-US"/>
        </w:rPr>
        <w:t xml:space="preserve">s reported to have a positive impact on </w:t>
      </w:r>
      <w:r w:rsidR="00870B4D" w:rsidRPr="002A6BF2">
        <w:rPr>
          <w:lang w:val="en-US"/>
        </w:rPr>
        <w:t>polyhydroxyalkanoate (</w:t>
      </w:r>
      <w:r w:rsidR="00D061E3" w:rsidRPr="002A6BF2">
        <w:rPr>
          <w:lang w:val="en-US"/>
        </w:rPr>
        <w:t>PHA</w:t>
      </w:r>
      <w:r w:rsidR="00870B4D" w:rsidRPr="002A6BF2">
        <w:rPr>
          <w:lang w:val="en-US"/>
        </w:rPr>
        <w:t>)</w:t>
      </w:r>
      <w:r w:rsidR="00D061E3" w:rsidRPr="002A6BF2">
        <w:rPr>
          <w:lang w:val="en-US"/>
        </w:rPr>
        <w:t xml:space="preserve"> production </w:t>
      </w:r>
      <w:r w:rsidR="00D061E3" w:rsidRPr="002A6BF2">
        <w:rPr>
          <w:lang w:val="en-US"/>
        </w:rPr>
        <w:fldChar w:fldCharType="begin" w:fldLock="1"/>
      </w:r>
      <w:r w:rsidR="004E5D44" w:rsidRPr="002A6BF2">
        <w:rPr>
          <w:lang w:val="en-US"/>
        </w:rPr>
        <w:instrText>ADDIN CSL_CITATION {"citationItems":[{"id":"ITEM-1","itemData":{"DOI":"10.1016/j.ymben.2012.10.004","ISSN":"10967176","PMID":"23164576","abstract":"Here, we present systems metabolic engineering driven by in-silico modeling to tailor Pseudomonas putida for synthesis of medium chain length PHAs on glucose. Using physiological properties of the parent wild type as constraints, elementary flux mode analysis of a large-scale model of the metabolism of P. putida was used to predict genetic targets for strain engineering. Among a set of priority ranked targets, glucose dehydrogenase (encoded by gcd) was predicted as most promising deletion target. The mutant P. putida Δ. gcd, generated on basis of the computational design, exhibited 100% increased PHA accumulation as compared to the parent wild type, maintained a high specific growth rate and exhibited an almost unaffected gene expression profile, which excluded detrimental side effects of the modification. A second mutant strain, P. putida Δ. pgl, that lacked 6-phosphogluconolactonase, exhibited a substantially decreased PHA synthesis, as was also predicted by the model. The production potential of P. putida Δ. gcd was assessed in batch bioreactors. The novel strain showed an increase of the PHA yield (+80%), the PHA titer (+100%) and cellular PHA content (+50%) and revealed almost unaffected growth and diminished by-product formation. It was thus found superior in all relevant criteria towards industrial production. Beyond the contribution to more efficient PHA production processes at reduced costs that might replace petrochemical plastics in the future, the study illustrates the power of computational prediction to tailor microbial strains for enhanced biosynthesis of added-value compounds. © 2012 Elsevier Inc.","author":[{"dropping-particle":"","family":"Poblete-Castro","given":"Ignacio","non-dropping-particle":"","parse-names":false,"suffix":""},{"dropping-particle":"","family":"Binger","given":"Danielle","non-dropping-particle":"","parse-names":false,"suffix":""},{"dropping-particle":"","family":"Rodrigues","given":"Andre","non-dropping-particle":"","parse-names":false,"suffix":""},{"dropping-particle":"","family":"Becker","given":"Judith","non-dropping-particle":"","parse-names":false,"suffix":""},{"dropping-particle":"","family":"Martins Dos Santos","given":"Vitor A.P.","non-dropping-particle":"","parse-names":false,"suffix":""},{"dropping-particle":"","family":"Wittmann","given":"Christoph","non-dropping-particle":"","parse-names":false,"suffix":""}],"container-title":"Metabolic Engineering","id":"ITEM-1","issue":"1","issued":{"date-parts":[["2013"]]},"note":"delta gcd results in up+ or down- regulation of\n\nzwf1 -\nzwf2 -\nzwf3 + (see volke 2021 for zwf in putida)","page":"113-123","publisher":"Elsevier","title":"In-silico-driven metabolic engineering of &lt;i&gt;Pseudomonas putida&lt;/i&gt; for enhanced production of poly-hydroxyalkanoates","type":"article-journal","volume":"15"},"uris":["http://www.mendeley.com/documents/?uuid=c2ea2bf1-e66c-4485-84c2-2a5c595bdd66"]}],"mendeley":{"formattedCitation":"(Poblete-Castro et al., 2013)","plainTextFormattedCitation":"(Poblete-Castro et al., 2013)","previouslyFormattedCitation":"(Poblete-Castro et al., 2013)"},"properties":{"noteIndex":0},"schema":"https://github.com/citation-style-language/schema/raw/master/csl-citation.json"}</w:instrText>
      </w:r>
      <w:r w:rsidR="00D061E3" w:rsidRPr="002A6BF2">
        <w:rPr>
          <w:lang w:val="en-US"/>
        </w:rPr>
        <w:fldChar w:fldCharType="separate"/>
      </w:r>
      <w:r w:rsidR="00B255F3" w:rsidRPr="002A6BF2">
        <w:rPr>
          <w:noProof/>
          <w:lang w:val="en-US"/>
        </w:rPr>
        <w:t>(Poblete-Castro et al., 2013)</w:t>
      </w:r>
      <w:r w:rsidR="00D061E3" w:rsidRPr="002A6BF2">
        <w:rPr>
          <w:lang w:val="en-US"/>
        </w:rPr>
        <w:fldChar w:fldCharType="end"/>
      </w:r>
      <w:r w:rsidR="00F21486" w:rsidRPr="002A6BF2">
        <w:rPr>
          <w:lang w:val="en-US"/>
        </w:rPr>
        <w:t xml:space="preserve">. It also </w:t>
      </w:r>
      <w:r w:rsidR="00D061E3" w:rsidRPr="002A6BF2">
        <w:rPr>
          <w:lang w:val="en-US"/>
        </w:rPr>
        <w:t>slight</w:t>
      </w:r>
      <w:r w:rsidR="00DF4B3B" w:rsidRPr="002A6BF2">
        <w:rPr>
          <w:lang w:val="en-US"/>
        </w:rPr>
        <w:t>ly</w:t>
      </w:r>
      <w:r w:rsidR="00D061E3" w:rsidRPr="002A6BF2">
        <w:rPr>
          <w:lang w:val="en-US"/>
        </w:rPr>
        <w:t xml:space="preserve"> </w:t>
      </w:r>
      <w:r w:rsidR="00F21486" w:rsidRPr="002A6BF2">
        <w:rPr>
          <w:lang w:val="en-US"/>
        </w:rPr>
        <w:t xml:space="preserve">elevated intracellular </w:t>
      </w:r>
      <w:r w:rsidR="00D061E3" w:rsidRPr="002A6BF2">
        <w:rPr>
          <w:lang w:val="en-US"/>
        </w:rPr>
        <w:t>malonyl-</w:t>
      </w:r>
      <w:r w:rsidR="00DF4B3B" w:rsidRPr="002A6BF2">
        <w:rPr>
          <w:lang w:val="en-US"/>
        </w:rPr>
        <w:t>CoA</w:t>
      </w:r>
      <w:r w:rsidR="00F21486" w:rsidRPr="002A6BF2">
        <w:rPr>
          <w:lang w:val="en-US"/>
        </w:rPr>
        <w:t xml:space="preserve"> in </w:t>
      </w:r>
      <w:r w:rsidR="00D061E3" w:rsidRPr="002A6BF2">
        <w:rPr>
          <w:i/>
          <w:lang w:val="en-US"/>
        </w:rPr>
        <w:t>P.</w:t>
      </w:r>
      <w:r w:rsidR="003B2D15" w:rsidRPr="002A6BF2">
        <w:rPr>
          <w:i/>
          <w:lang w:val="en-US"/>
        </w:rPr>
        <w:t> </w:t>
      </w:r>
      <w:r w:rsidR="00D061E3" w:rsidRPr="002A6BF2">
        <w:rPr>
          <w:i/>
          <w:lang w:val="en-US"/>
        </w:rPr>
        <w:t>putida</w:t>
      </w:r>
      <w:r w:rsidR="00D061E3" w:rsidRPr="002A6BF2">
        <w:rPr>
          <w:lang w:val="en-US"/>
        </w:rPr>
        <w:t xml:space="preserve"> while simultaneously</w:t>
      </w:r>
      <w:r w:rsidR="00DF4B3B" w:rsidRPr="002A6BF2">
        <w:rPr>
          <w:lang w:val="en-US"/>
        </w:rPr>
        <w:t xml:space="preserve"> </w:t>
      </w:r>
      <w:r w:rsidR="005410A3" w:rsidRPr="002A6BF2">
        <w:rPr>
          <w:lang w:val="en-US"/>
        </w:rPr>
        <w:t xml:space="preserve">reducing </w:t>
      </w:r>
      <w:r w:rsidR="00DF4B3B" w:rsidRPr="002A6BF2">
        <w:rPr>
          <w:lang w:val="en-US"/>
        </w:rPr>
        <w:t>the</w:t>
      </w:r>
      <w:r w:rsidR="00870B4D" w:rsidRPr="002A6BF2">
        <w:rPr>
          <w:lang w:val="en-US"/>
        </w:rPr>
        <w:t xml:space="preserve"> level of</w:t>
      </w:r>
      <w:r w:rsidR="00D061E3" w:rsidRPr="002A6BF2">
        <w:rPr>
          <w:lang w:val="en-US"/>
        </w:rPr>
        <w:t xml:space="preserve"> free CoA </w:t>
      </w:r>
      <w:r w:rsidR="00D061E3" w:rsidRPr="002A6BF2">
        <w:rPr>
          <w:lang w:val="en-US"/>
        </w:rPr>
        <w:fldChar w:fldCharType="begin" w:fldLock="1"/>
      </w:r>
      <w:r w:rsidR="004B1408" w:rsidRPr="002A6BF2">
        <w:rPr>
          <w:lang w:val="en-US"/>
        </w:rPr>
        <w:instrText>ADDIN CSL_CITATION {"citationItems":[{"id":"ITEM-1","itemData":{"DOI":"10.1186/s12934-020-01413-1","ISBN":"1293402001","ISSN":"14752859","PMID":"32778124","abstract":"Background: Thioesters of coenzyme A participate in 5% of all enzymatic reactions. In microbial cell factories, they function as building blocks for products of recognized commercial value, including natural products such as polyketides, polyunsaturated fatty acids, biofuels, and biopolymers. A core spectrum of approximately 5-10 short chain thioesters is present in many microbes, as inferred from their genomic repertoire. The relevance of these metabolites explains the high interest to trace and quantify them in microbial cells. Results: Here, we describe a common workflow for extraction and absolute quantification of short chain CoA thioesters in different gram-positive and gram-negative bacteria and eukaryotic yeast, i.e. Corynebacterium glutamicum, Streptomyces albus, Pseudomonas putida, and Yarrowia lipolytica. The approach assessed intracellular CoA thioesters down to the picomolar level and exhibited high precision and reproducibility for all microbes, as shown by principal component analysis. Furthermore, it provided interesting insights into microbial CoA metabolism. A succinyl-CoA synthase defective mutant of C. glutamicum exhibited an unaffected level of succinyl-CoA that indicated a complete compensation by the l-lysine pathway to bypass the disrupted TCA cycle. Methylmalonyl-CoA, an important building block of high-value polyketides, was identified as dominant CoA thioester in the actinomycete S. albus. The microbe revealed a more than 10,000-fold difference in the abundance of intracellular CoA thioesters. A recombinant strain of S. albus, which produced different derivatives of the antituberculosis polyketide pamamycin, revealed a significant depletion of CoA thioesters of the ethylmalonyl CoA pathway, influencing product level and spectrum. Conclusions: The high relevance of short chain CoA thioesters to synthetize industrial products and the interesting insights gained from the examples shown in this work, suggest analyzing these metabolites in microbial cell factories more routinely than done so far. Due to its broad application range, the developed approach appears useful to be applied this purpose. Hereby, the possibility to use one single protocol promises to facilitate automatized efforts, which rely on standardized workflows.","author":[{"dropping-particle":"","family":"Gläser","given":"Lars","non-dropping-particle":"","parse-names":false,"suffix":""},{"dropping-particle":"","family":"Kuhl","given":"Martin","non-dropping-particle":"","parse-names":false,"suffix":""},{"dropping-particle":"","family":"Jovanovic","given":"Sofija","non-dropping-particle":"","parse-names":false,"suffix":""},{"dropping-particle":"","family":"Fritz","given":"Michel","non-dropping-particle":"","parse-names":false,"suffix":""},{"dropping-particle":"","family":"Vögeli","given":"Bastian","non-dropping-particle":"","parse-names":false,"suffix":""},{"dropping-particle":"","family":"Erb","given":"Tobias J.","non-dropping-particle":"","parse-names":false,"suffix":""},{"dropping-particle":"","family":"Becker","given":"Judith","non-dropping-particle":"","parse-names":false,"suffix":""},{"dropping-particle":"","family":"Wittmann","given":"Christoph","non-dropping-particle":"","parse-names":false,"suffix":""}],"container-title":"Microbial Cell Factories","id":"ITEM-1","issue":"1","issued":{"date-parts":[["2020"]]},"note":"in Streptomyces albus malonyl-CoA is about 10x more abundant than in other tested microorganisms.","page":"1-13","publisher":"BioMed Central","title":"A common approach for absolute quantification of short chain CoA thioesters in prokaryotic and eukaryotic microbes","type":"article-journal","volume":"19"},"uris":["http://www.mendeley.com/documents/?uuid=ce4ddd3a-862d-4f6f-ba07-c5ad572b4271"]}],"mendeley":{"formattedCitation":"(Gläser et al., 2020)","plainTextFormattedCitation":"(Gläser et al., 2020)","previouslyFormattedCitation":"(Gläser et al., 2020)"},"properties":{"noteIndex":0},"schema":"https://github.com/citation-style-language/schema/raw/master/csl-citation.json"}</w:instrText>
      </w:r>
      <w:r w:rsidR="00D061E3" w:rsidRPr="002A6BF2">
        <w:rPr>
          <w:lang w:val="en-US"/>
        </w:rPr>
        <w:fldChar w:fldCharType="separate"/>
      </w:r>
      <w:r w:rsidR="00B255F3" w:rsidRPr="002A6BF2">
        <w:rPr>
          <w:noProof/>
          <w:lang w:val="en-US"/>
        </w:rPr>
        <w:t>(Gläser et al., 2020)</w:t>
      </w:r>
      <w:r w:rsidR="00D061E3" w:rsidRPr="002A6BF2">
        <w:rPr>
          <w:lang w:val="en-US"/>
        </w:rPr>
        <w:fldChar w:fldCharType="end"/>
      </w:r>
      <w:r w:rsidR="00D061E3" w:rsidRPr="002A6BF2">
        <w:rPr>
          <w:lang w:val="en-US"/>
        </w:rPr>
        <w:t xml:space="preserve">. </w:t>
      </w:r>
    </w:p>
    <w:p w14:paraId="48441E09" w14:textId="78C62A57" w:rsidR="00D061E3" w:rsidRPr="002A6BF2" w:rsidRDefault="00D061E3" w:rsidP="00B84A00">
      <w:pPr>
        <w:spacing w:line="276" w:lineRule="auto"/>
        <w:jc w:val="both"/>
        <w:rPr>
          <w:lang w:val="en-US"/>
        </w:rPr>
      </w:pPr>
      <w:r w:rsidRPr="002A6BF2">
        <w:rPr>
          <w:lang w:val="en-US"/>
        </w:rPr>
        <w:t xml:space="preserve">Deletion </w:t>
      </w:r>
      <w:r w:rsidR="002C774C" w:rsidRPr="002A6BF2">
        <w:rPr>
          <w:lang w:val="en-US"/>
        </w:rPr>
        <w:t xml:space="preserve">of </w:t>
      </w:r>
      <w:r w:rsidR="00064777" w:rsidRPr="002A6BF2">
        <w:rPr>
          <w:i/>
          <w:iCs/>
          <w:lang w:val="en-US"/>
        </w:rPr>
        <w:t>gcd</w:t>
      </w:r>
      <w:r w:rsidR="00064777" w:rsidRPr="002A6BF2">
        <w:rPr>
          <w:lang w:val="en-US"/>
        </w:rPr>
        <w:t xml:space="preserve"> </w:t>
      </w:r>
      <w:r w:rsidRPr="002A6BF2">
        <w:rPr>
          <w:lang w:val="en-US"/>
        </w:rPr>
        <w:t>in</w:t>
      </w:r>
      <w:r w:rsidR="002C774C" w:rsidRPr="002A6BF2">
        <w:rPr>
          <w:lang w:val="en-US"/>
        </w:rPr>
        <w:t xml:space="preserve"> </w:t>
      </w:r>
      <w:r w:rsidR="00B1640A" w:rsidRPr="002A6BF2">
        <w:rPr>
          <w:lang w:val="en-US"/>
        </w:rPr>
        <w:t xml:space="preserve">the </w:t>
      </w:r>
      <w:r w:rsidR="005F3C75" w:rsidRPr="002A6BF2">
        <w:rPr>
          <w:i/>
          <w:lang w:val="en-US"/>
        </w:rPr>
        <w:t>P. taiwanensis</w:t>
      </w:r>
      <w:r w:rsidR="005F3C75" w:rsidRPr="002A6BF2">
        <w:rPr>
          <w:lang w:val="en-US"/>
        </w:rPr>
        <w:t xml:space="preserve"> </w:t>
      </w:r>
      <w:r w:rsidRPr="002A6BF2">
        <w:rPr>
          <w:lang w:val="en-US"/>
        </w:rPr>
        <w:t>phenylalanine platform strain</w:t>
      </w:r>
      <w:r w:rsidR="00E12AD4" w:rsidRPr="002A6BF2">
        <w:rPr>
          <w:lang w:val="en-US"/>
        </w:rPr>
        <w:t xml:space="preserve"> GRC3</w:t>
      </w:r>
      <w:r w:rsidR="00D95DDB" w:rsidRPr="002A6BF2">
        <w:rPr>
          <w:lang w:val="en-US"/>
        </w:rPr>
        <w:t xml:space="preserve"> </w:t>
      </w:r>
      <w:r w:rsidR="00E12AD4" w:rsidRPr="002A6BF2">
        <w:rPr>
          <w:lang w:val="en-US"/>
        </w:rPr>
        <w:t>PHE</w:t>
      </w:r>
      <w:r w:rsidRPr="002A6BF2">
        <w:rPr>
          <w:lang w:val="en-US"/>
        </w:rPr>
        <w:t xml:space="preserve"> </w:t>
      </w:r>
      <w:r w:rsidR="00870B4D" w:rsidRPr="002A6BF2">
        <w:rPr>
          <w:lang w:val="en-US"/>
        </w:rPr>
        <w:t>had a positive effect on pinosylvin titer</w:t>
      </w:r>
      <w:r w:rsidR="005F3C75" w:rsidRPr="002A6BF2">
        <w:rPr>
          <w:lang w:val="en-US"/>
        </w:rPr>
        <w:t>s</w:t>
      </w:r>
      <w:r w:rsidR="00870B4D" w:rsidRPr="002A6BF2">
        <w:rPr>
          <w:lang w:val="en-US"/>
        </w:rPr>
        <w:t xml:space="preserve"> </w:t>
      </w:r>
      <w:r w:rsidR="00C10D87" w:rsidRPr="002A6BF2">
        <w:rPr>
          <w:lang w:val="en-US"/>
        </w:rPr>
        <w:t>(</w:t>
      </w:r>
      <w:r w:rsidR="00325010" w:rsidRPr="002A6BF2">
        <w:rPr>
          <w:lang w:val="en-US"/>
        </w:rPr>
        <w:t>Fig.</w:t>
      </w:r>
      <w:r w:rsidR="00C10D87" w:rsidRPr="002A6BF2">
        <w:rPr>
          <w:lang w:val="en-US"/>
        </w:rPr>
        <w:t xml:space="preserve"> </w:t>
      </w:r>
      <w:r w:rsidR="004C7D90" w:rsidRPr="002A6BF2">
        <w:rPr>
          <w:lang w:val="en-US"/>
        </w:rPr>
        <w:t>4</w:t>
      </w:r>
      <w:r w:rsidR="00C10D87" w:rsidRPr="002A6BF2">
        <w:rPr>
          <w:lang w:val="en-US"/>
        </w:rPr>
        <w:t>)</w:t>
      </w:r>
      <w:r w:rsidR="00870B4D" w:rsidRPr="002A6BF2">
        <w:rPr>
          <w:lang w:val="en-US"/>
        </w:rPr>
        <w:t xml:space="preserve">. In contrast, </w:t>
      </w:r>
      <w:r w:rsidR="005C7716" w:rsidRPr="002A6BF2">
        <w:rPr>
          <w:lang w:val="en-US"/>
        </w:rPr>
        <w:t xml:space="preserve">the </w:t>
      </w:r>
      <w:r w:rsidR="00870B4D" w:rsidRPr="002A6BF2">
        <w:rPr>
          <w:lang w:val="en-US"/>
        </w:rPr>
        <w:t xml:space="preserve">deletion of PHA </w:t>
      </w:r>
      <w:r w:rsidR="00394C29" w:rsidRPr="002A6BF2">
        <w:rPr>
          <w:lang w:val="en-US"/>
        </w:rPr>
        <w:t xml:space="preserve">synthesis </w:t>
      </w:r>
      <w:r w:rsidR="00870B4D" w:rsidRPr="002A6BF2">
        <w:rPr>
          <w:lang w:val="en-US"/>
        </w:rPr>
        <w:t xml:space="preserve">cluster </w:t>
      </w:r>
      <w:r w:rsidR="00394C29" w:rsidRPr="002A6BF2">
        <w:rPr>
          <w:i/>
          <w:iCs/>
          <w:lang w:val="en-US"/>
        </w:rPr>
        <w:t>p</w:t>
      </w:r>
      <w:r w:rsidR="00870B4D" w:rsidRPr="002A6BF2">
        <w:rPr>
          <w:i/>
          <w:iCs/>
          <w:lang w:val="en-US"/>
        </w:rPr>
        <w:t>haCZC2</w:t>
      </w:r>
      <w:r w:rsidR="00870B4D" w:rsidRPr="002A6BF2">
        <w:rPr>
          <w:lang w:val="en-US"/>
        </w:rPr>
        <w:t xml:space="preserve"> (PVLB_02155-02165) and </w:t>
      </w:r>
      <w:r w:rsidR="009428DE" w:rsidRPr="002A6BF2">
        <w:rPr>
          <w:lang w:val="en-US"/>
        </w:rPr>
        <w:t xml:space="preserve">a </w:t>
      </w:r>
      <w:r w:rsidR="00870B4D" w:rsidRPr="002A6BF2">
        <w:rPr>
          <w:lang w:val="en-US"/>
        </w:rPr>
        <w:t>type II thioesterase (</w:t>
      </w:r>
      <w:r w:rsidR="00DF4B3B" w:rsidRPr="002A6BF2">
        <w:rPr>
          <w:lang w:val="en-US"/>
        </w:rPr>
        <w:t xml:space="preserve">encoded by </w:t>
      </w:r>
      <w:r w:rsidR="00394C29" w:rsidRPr="002A6BF2">
        <w:rPr>
          <w:i/>
          <w:lang w:val="en-US"/>
        </w:rPr>
        <w:t>tesB</w:t>
      </w:r>
      <w:r w:rsidR="00B1640A" w:rsidRPr="002A6BF2">
        <w:rPr>
          <w:lang w:val="en-US"/>
        </w:rPr>
        <w:t>;</w:t>
      </w:r>
      <w:r w:rsidR="00394C29" w:rsidRPr="002A6BF2">
        <w:rPr>
          <w:lang w:val="en-US"/>
        </w:rPr>
        <w:t xml:space="preserve"> </w:t>
      </w:r>
      <w:r w:rsidR="00870B4D" w:rsidRPr="002A6BF2">
        <w:rPr>
          <w:lang w:val="en-US"/>
        </w:rPr>
        <w:t>PVLB_03305) had no beneficial effect</w:t>
      </w:r>
      <w:r w:rsidR="00DC4D0C" w:rsidRPr="002A6BF2">
        <w:rPr>
          <w:lang w:val="en-US"/>
        </w:rPr>
        <w:t xml:space="preserve"> </w:t>
      </w:r>
      <w:r w:rsidR="00374864" w:rsidRPr="002A6BF2">
        <w:rPr>
          <w:lang w:val="en-US"/>
        </w:rPr>
        <w:t xml:space="preserve">or </w:t>
      </w:r>
      <w:r w:rsidR="00B1640A" w:rsidRPr="002A6BF2">
        <w:rPr>
          <w:lang w:val="en-US"/>
        </w:rPr>
        <w:t xml:space="preserve">were </w:t>
      </w:r>
      <w:r w:rsidR="00374864" w:rsidRPr="002A6BF2">
        <w:rPr>
          <w:lang w:val="en-US"/>
        </w:rPr>
        <w:t xml:space="preserve">even detrimental </w:t>
      </w:r>
      <w:r w:rsidR="00DC4D0C" w:rsidRPr="002A6BF2">
        <w:rPr>
          <w:lang w:val="en-US"/>
        </w:rPr>
        <w:t xml:space="preserve">in the </w:t>
      </w:r>
      <w:r w:rsidR="00E12AD4" w:rsidRPr="002A6BF2">
        <w:rPr>
          <w:lang w:val="en-US"/>
        </w:rPr>
        <w:t>GRC3</w:t>
      </w:r>
      <w:r w:rsidR="00D95DDB" w:rsidRPr="002A6BF2">
        <w:rPr>
          <w:lang w:val="en-US"/>
        </w:rPr>
        <w:t xml:space="preserve"> </w:t>
      </w:r>
      <w:r w:rsidR="00DC4D0C" w:rsidRPr="002A6BF2">
        <w:rPr>
          <w:lang w:val="en-US"/>
        </w:rPr>
        <w:t xml:space="preserve">PHE strain </w:t>
      </w:r>
      <w:r w:rsidR="00817564" w:rsidRPr="002A6BF2">
        <w:rPr>
          <w:lang w:val="en-US"/>
        </w:rPr>
        <w:t>b</w:t>
      </w:r>
      <w:r w:rsidR="00DC4D0C" w:rsidRPr="002A6BF2">
        <w:rPr>
          <w:lang w:val="en-US"/>
        </w:rPr>
        <w:t>ackground</w:t>
      </w:r>
      <w:r w:rsidR="005C41AB" w:rsidRPr="002A6BF2">
        <w:rPr>
          <w:lang w:val="en-US"/>
        </w:rPr>
        <w:t xml:space="preserve">, even </w:t>
      </w:r>
      <w:r w:rsidR="005F3C75" w:rsidRPr="002A6BF2">
        <w:rPr>
          <w:lang w:val="en-US"/>
        </w:rPr>
        <w:t>though these were key</w:t>
      </w:r>
      <w:r w:rsidR="00EF2982" w:rsidRPr="002A6BF2">
        <w:rPr>
          <w:lang w:val="en-US"/>
        </w:rPr>
        <w:t xml:space="preserve"> </w:t>
      </w:r>
      <w:r w:rsidR="005F3C75" w:rsidRPr="002A6BF2">
        <w:rPr>
          <w:lang w:val="en-US"/>
        </w:rPr>
        <w:t xml:space="preserve">modifications for increasing the formation of methyl ketones </w:t>
      </w:r>
      <w:r w:rsidR="00374864" w:rsidRPr="002A6BF2">
        <w:rPr>
          <w:lang w:val="en-US"/>
        </w:rPr>
        <w:t>deriving from full procession of FAS</w:t>
      </w:r>
      <w:r w:rsidR="005F3C75" w:rsidRPr="002A6BF2">
        <w:rPr>
          <w:lang w:val="en-US"/>
        </w:rPr>
        <w:t xml:space="preserve"> </w:t>
      </w:r>
      <w:r w:rsidR="00374864" w:rsidRPr="002A6BF2">
        <w:rPr>
          <w:lang w:val="en-US"/>
        </w:rPr>
        <w:t xml:space="preserve">in </w:t>
      </w:r>
      <w:r w:rsidR="00374864" w:rsidRPr="002A6BF2">
        <w:rPr>
          <w:i/>
          <w:lang w:val="en-US"/>
        </w:rPr>
        <w:t>P. taiwanensis</w:t>
      </w:r>
      <w:r w:rsidR="00374864" w:rsidRPr="002A6BF2">
        <w:rPr>
          <w:lang w:val="en-US"/>
        </w:rPr>
        <w:t xml:space="preserve"> VLB120 </w:t>
      </w:r>
      <w:r w:rsidR="005F3C75" w:rsidRPr="002A6BF2">
        <w:rPr>
          <w:lang w:val="en-US"/>
        </w:rPr>
        <w:fldChar w:fldCharType="begin" w:fldLock="1"/>
      </w:r>
      <w:r w:rsidR="00D40894" w:rsidRPr="002A6BF2">
        <w:rPr>
          <w:lang w:val="en-US"/>
        </w:rPr>
        <w:instrText>ADDIN CSL_CITATION {"citationItems":[{"id":"ITEM-1","itemData":{"DOI":"10.1016/j.ymben.2020.08.003","author":[{"dropping-particle":"","family":"Nies","given":"Salome C","non-dropping-particle":"","parse-names":false,"suffix":""},{"dropping-particle":"","family":"Alter","given":"Tobias B","non-dropping-particle":"","parse-names":false,"suffix":""},{"dropping-particle":"","family":"Nölting","given":"Sophia","non-dropping-particle":"","parse-names":false,"suffix":""},{"dropping-particle":"","family":"Thiery","given":"Susanne","non-dropping-particle":"","parse-names":false,"suffix":""},{"dropping-particle":"","family":"Phan","given":"An N T","non-dropping-particle":"","parse-names":false,"suffix":""}],"container-title":"Metabolic Engineering","id":"ITEM-1","issued":{"date-parts":[["2020"]]},"page":"84-94","title":"High titer methyl ketone production with tailored &lt;i&gt;Pseudomonas taiwanensis&lt;/i&gt; VLB120","type":"article-journal","volume":"62"},"uris":["http://www.mendeley.com/documents/?uuid=989fc96d-be48-48bd-90c1-1789860b4240"]}],"mendeley":{"formattedCitation":"(Nies et al., 2020)","plainTextFormattedCitation":"(Nies et al., 2020)","previouslyFormattedCitation":"(Nies et al., 2020)"},"properties":{"noteIndex":0},"schema":"https://github.com/citation-style-language/schema/raw/master/csl-citation.json"}</w:instrText>
      </w:r>
      <w:r w:rsidR="005F3C75" w:rsidRPr="002A6BF2">
        <w:rPr>
          <w:lang w:val="en-US"/>
        </w:rPr>
        <w:fldChar w:fldCharType="separate"/>
      </w:r>
      <w:r w:rsidR="00B255F3" w:rsidRPr="002A6BF2">
        <w:rPr>
          <w:noProof/>
          <w:lang w:val="en-US"/>
        </w:rPr>
        <w:t>(Nies et al., 2020)</w:t>
      </w:r>
      <w:r w:rsidR="005F3C75" w:rsidRPr="002A6BF2">
        <w:rPr>
          <w:lang w:val="en-US"/>
        </w:rPr>
        <w:fldChar w:fldCharType="end"/>
      </w:r>
      <w:r w:rsidR="00870B4D" w:rsidRPr="002A6BF2">
        <w:rPr>
          <w:lang w:val="en-US"/>
        </w:rPr>
        <w:t xml:space="preserve">. </w:t>
      </w:r>
    </w:p>
    <w:p w14:paraId="18AE9214" w14:textId="4AB3E871" w:rsidR="00061B97" w:rsidRPr="002A6BF2" w:rsidRDefault="00394C29" w:rsidP="00B84A00">
      <w:pPr>
        <w:spacing w:line="276" w:lineRule="auto"/>
        <w:jc w:val="both"/>
        <w:rPr>
          <w:lang w:val="en-US"/>
        </w:rPr>
      </w:pPr>
      <w:r w:rsidRPr="002A6BF2">
        <w:rPr>
          <w:lang w:val="en-US"/>
        </w:rPr>
        <w:t xml:space="preserve">The deletion of </w:t>
      </w:r>
      <w:r w:rsidR="003C4AD9" w:rsidRPr="002A6BF2">
        <w:rPr>
          <w:i/>
          <w:iCs/>
          <w:lang w:val="en-US"/>
        </w:rPr>
        <w:t>g</w:t>
      </w:r>
      <w:r w:rsidR="0070559E" w:rsidRPr="002A6BF2">
        <w:rPr>
          <w:i/>
          <w:iCs/>
          <w:lang w:val="en-US"/>
        </w:rPr>
        <w:t>cd</w:t>
      </w:r>
      <w:r w:rsidRPr="002A6BF2">
        <w:rPr>
          <w:lang w:val="en-US"/>
        </w:rPr>
        <w:t xml:space="preserve"> </w:t>
      </w:r>
      <w:r w:rsidR="005F2574" w:rsidRPr="002A6BF2">
        <w:rPr>
          <w:lang w:val="en-US"/>
        </w:rPr>
        <w:t>was shown to have an</w:t>
      </w:r>
      <w:r w:rsidRPr="002A6BF2">
        <w:rPr>
          <w:lang w:val="en-US"/>
        </w:rPr>
        <w:t xml:space="preserve"> influence on </w:t>
      </w:r>
      <w:r w:rsidR="005F3C75" w:rsidRPr="002A6BF2">
        <w:rPr>
          <w:lang w:val="en-US"/>
        </w:rPr>
        <w:t xml:space="preserve">primary metabolic fluxes and </w:t>
      </w:r>
      <w:r w:rsidRPr="002A6BF2">
        <w:rPr>
          <w:lang w:val="en-US"/>
        </w:rPr>
        <w:t>the regulation of various genes of the central metabolism</w:t>
      </w:r>
      <w:r w:rsidR="005F3C75" w:rsidRPr="002A6BF2">
        <w:rPr>
          <w:lang w:val="en-US"/>
        </w:rPr>
        <w:t>, thereby positively affecting</w:t>
      </w:r>
      <w:r w:rsidRPr="002A6BF2">
        <w:rPr>
          <w:lang w:val="en-US"/>
        </w:rPr>
        <w:t xml:space="preserve"> PHA synthesis</w:t>
      </w:r>
      <w:r w:rsidR="005F2574" w:rsidRPr="002A6BF2">
        <w:rPr>
          <w:lang w:val="en-US"/>
        </w:rPr>
        <w:t xml:space="preserve"> in </w:t>
      </w:r>
      <w:r w:rsidR="005F2574" w:rsidRPr="002A6BF2">
        <w:rPr>
          <w:i/>
          <w:lang w:val="en-US"/>
        </w:rPr>
        <w:t>P. putida</w:t>
      </w:r>
      <w:r w:rsidRPr="002A6BF2">
        <w:rPr>
          <w:lang w:val="en-US"/>
        </w:rPr>
        <w:t xml:space="preserve"> </w:t>
      </w:r>
      <w:r w:rsidRPr="002A6BF2">
        <w:rPr>
          <w:lang w:val="en-US"/>
        </w:rPr>
        <w:fldChar w:fldCharType="begin" w:fldLock="1"/>
      </w:r>
      <w:r w:rsidR="004E5D44" w:rsidRPr="002A6BF2">
        <w:rPr>
          <w:lang w:val="en-US"/>
        </w:rPr>
        <w:instrText>ADDIN CSL_CITATION {"citationItems":[{"id":"ITEM-1","itemData":{"DOI":"10.1016/j.ymben.2012.10.004","ISSN":"10967176","PMID":"23164576","abstract":"Here, we present systems metabolic engineering driven by in-silico modeling to tailor Pseudomonas putida for synthesis of medium chain length PHAs on glucose. Using physiological properties of the parent wild type as constraints, elementary flux mode analysis of a large-scale model of the metabolism of P. putida was used to predict genetic targets for strain engineering. Among a set of priority ranked targets, glucose dehydrogenase (encoded by gcd) was predicted as most promising deletion target. The mutant P. putida Δ. gcd, generated on basis of the computational design, exhibited 100% increased PHA accumulation as compared to the parent wild type, maintained a high specific growth rate and exhibited an almost unaffected gene expression profile, which excluded detrimental side effects of the modification. A second mutant strain, P. putida Δ. pgl, that lacked 6-phosphogluconolactonase, exhibited a substantially decreased PHA synthesis, as was also predicted by the model. The production potential of P. putida Δ. gcd was assessed in batch bioreactors. The novel strain showed an increase of the PHA yield (+80%), the PHA titer (+100%) and cellular PHA content (+50%) and revealed almost unaffected growth and diminished by-product formation. It was thus found superior in all relevant criteria towards industrial production. Beyond the contribution to more efficient PHA production processes at reduced costs that might replace petrochemical plastics in the future, the study illustrates the power of computational prediction to tailor microbial strains for enhanced biosynthesis of added-value compounds. © 2012 Elsevier Inc.","author":[{"dropping-particle":"","family":"Poblete-Castro","given":"Ignacio","non-dropping-particle":"","parse-names":false,"suffix":""},{"dropping-particle":"","family":"Binger","given":"Danielle","non-dropping-particle":"","parse-names":false,"suffix":""},{"dropping-particle":"","family":"Rodrigues","given":"Andre","non-dropping-particle":"","parse-names":false,"suffix":""},{"dropping-particle":"","family":"Becker","given":"Judith","non-dropping-particle":"","parse-names":false,"suffix":""},{"dropping-particle":"","family":"Martins Dos Santos","given":"Vitor A.P.","non-dropping-particle":"","parse-names":false,"suffix":""},{"dropping-particle":"","family":"Wittmann","given":"Christoph","non-dropping-particle":"","parse-names":false,"suffix":""}],"container-title":"Metabolic Engineering","id":"ITEM-1","issue":"1","issued":{"date-parts":[["2013"]]},"note":"delta gcd results in up+ or down- regulation of\n\nzwf1 -\nzwf2 -\nzwf3 + (see volke 2021 for zwf in putida)","page":"113-123","publisher":"Elsevier","title":"In-silico-driven metabolic engineering of &lt;i&gt;Pseudomonas putida&lt;/i&gt; for enhanced production of poly-hydroxyalkanoates","type":"article-journal","volume":"15"},"uris":["http://www.mendeley.com/documents/?uuid=c2ea2bf1-e66c-4485-84c2-2a5c595bdd66"]}],"mendeley":{"formattedCitation":"(Poblete-Castro et al., 2013)","plainTextFormattedCitation":"(Poblete-Castro et al., 2013)","previouslyFormattedCitation":"(Poblete-Castro et al., 2013)"},"properties":{"noteIndex":0},"schema":"https://github.com/citation-style-language/schema/raw/master/csl-citation.json"}</w:instrText>
      </w:r>
      <w:r w:rsidRPr="002A6BF2">
        <w:rPr>
          <w:lang w:val="en-US"/>
        </w:rPr>
        <w:fldChar w:fldCharType="separate"/>
      </w:r>
      <w:r w:rsidR="00B255F3" w:rsidRPr="002A6BF2">
        <w:rPr>
          <w:noProof/>
          <w:lang w:val="en-US"/>
        </w:rPr>
        <w:t>(Poblete-Castro et al., 2013)</w:t>
      </w:r>
      <w:r w:rsidRPr="002A6BF2">
        <w:rPr>
          <w:lang w:val="en-US"/>
        </w:rPr>
        <w:fldChar w:fldCharType="end"/>
      </w:r>
      <w:r w:rsidRPr="002A6BF2">
        <w:rPr>
          <w:lang w:val="en-US"/>
        </w:rPr>
        <w:t xml:space="preserve">. </w:t>
      </w:r>
      <w:r w:rsidRPr="002A6BF2">
        <w:rPr>
          <w:lang w:val="en-US"/>
        </w:rPr>
        <w:lastRenderedPageBreak/>
        <w:t xml:space="preserve">Here, the deletion nearly doubled the pinosylvin titer </w:t>
      </w:r>
      <w:r w:rsidR="005F3C75" w:rsidRPr="002A6BF2">
        <w:rPr>
          <w:lang w:val="en-US"/>
        </w:rPr>
        <w:t xml:space="preserve">compared </w:t>
      </w:r>
      <w:r w:rsidRPr="002A6BF2">
        <w:rPr>
          <w:lang w:val="en-US"/>
        </w:rPr>
        <w:t>to the parental strain</w:t>
      </w:r>
      <w:r w:rsidR="005F2574" w:rsidRPr="002A6BF2">
        <w:rPr>
          <w:lang w:val="en-US"/>
        </w:rPr>
        <w:t xml:space="preserve"> </w:t>
      </w:r>
      <w:r w:rsidRPr="002A6BF2">
        <w:rPr>
          <w:lang w:val="en-US"/>
        </w:rPr>
        <w:t>reveal</w:t>
      </w:r>
      <w:r w:rsidR="005F2574" w:rsidRPr="002A6BF2">
        <w:rPr>
          <w:lang w:val="en-US"/>
        </w:rPr>
        <w:t>ing</w:t>
      </w:r>
      <w:r w:rsidRPr="002A6BF2">
        <w:rPr>
          <w:lang w:val="en-US"/>
        </w:rPr>
        <w:t xml:space="preserve"> that products </w:t>
      </w:r>
      <w:r w:rsidR="005F2574" w:rsidRPr="002A6BF2">
        <w:rPr>
          <w:lang w:val="en-US"/>
        </w:rPr>
        <w:t>using</w:t>
      </w:r>
      <w:r w:rsidRPr="002A6BF2">
        <w:rPr>
          <w:lang w:val="en-US"/>
        </w:rPr>
        <w:t xml:space="preserve"> malonyl-CoA </w:t>
      </w:r>
      <w:r w:rsidR="005F2574" w:rsidRPr="002A6BF2">
        <w:rPr>
          <w:lang w:val="en-US"/>
        </w:rPr>
        <w:t>as direct precursor also</w:t>
      </w:r>
      <w:r w:rsidRPr="002A6BF2">
        <w:rPr>
          <w:lang w:val="en-US"/>
        </w:rPr>
        <w:t xml:space="preserve"> benefit from</w:t>
      </w:r>
      <w:r w:rsidR="005F2574" w:rsidRPr="002A6BF2">
        <w:rPr>
          <w:lang w:val="en-US"/>
        </w:rPr>
        <w:t xml:space="preserve"> the deletion of</w:t>
      </w:r>
      <w:r w:rsidRPr="002A6BF2">
        <w:rPr>
          <w:lang w:val="en-US"/>
        </w:rPr>
        <w:t xml:space="preserve"> </w:t>
      </w:r>
      <w:r w:rsidRPr="002A6BF2">
        <w:rPr>
          <w:i/>
          <w:lang w:val="en-US"/>
        </w:rPr>
        <w:t>gcd</w:t>
      </w:r>
      <w:r w:rsidRPr="002A6BF2">
        <w:rPr>
          <w:lang w:val="en-US"/>
        </w:rPr>
        <w:t xml:space="preserve"> and not only peripheral products like PHA</w:t>
      </w:r>
      <w:r w:rsidR="00B04B88" w:rsidRPr="002A6BF2">
        <w:rPr>
          <w:lang w:val="en-US"/>
        </w:rPr>
        <w:t>,</w:t>
      </w:r>
      <w:r w:rsidRPr="002A6BF2">
        <w:rPr>
          <w:lang w:val="en-US"/>
        </w:rPr>
        <w:t xml:space="preserve"> which gain their precursors from full procession of </w:t>
      </w:r>
      <w:r w:rsidR="00DD6281" w:rsidRPr="002A6BF2">
        <w:rPr>
          <w:lang w:val="en-US"/>
        </w:rPr>
        <w:t>FAS</w:t>
      </w:r>
      <w:r w:rsidRPr="002A6BF2">
        <w:rPr>
          <w:lang w:val="en-US"/>
        </w:rPr>
        <w:t xml:space="preserve"> which in turn consumes malonyl-CoA. </w:t>
      </w:r>
    </w:p>
    <w:p w14:paraId="66D95F4E" w14:textId="12029370" w:rsidR="00394C29" w:rsidRPr="002A6BF2" w:rsidRDefault="00027353" w:rsidP="00B84A00">
      <w:pPr>
        <w:spacing w:line="276" w:lineRule="auto"/>
        <w:jc w:val="both"/>
        <w:rPr>
          <w:lang w:val="en-US"/>
        </w:rPr>
      </w:pPr>
      <w:r w:rsidRPr="002A6BF2">
        <w:rPr>
          <w:noProof/>
          <w:lang w:eastAsia="de-DE"/>
        </w:rPr>
        <w:drawing>
          <wp:inline distT="0" distB="0" distL="0" distR="0" wp14:anchorId="00781697" wp14:editId="370FD23F">
            <wp:extent cx="2966101" cy="272903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9899" cy="2750934"/>
                    </a:xfrm>
                    <a:prstGeom prst="rect">
                      <a:avLst/>
                    </a:prstGeom>
                    <a:noFill/>
                    <a:ln>
                      <a:noFill/>
                    </a:ln>
                  </pic:spPr>
                </pic:pic>
              </a:graphicData>
            </a:graphic>
          </wp:inline>
        </w:drawing>
      </w:r>
    </w:p>
    <w:p w14:paraId="1DB6B7FD" w14:textId="7891E1C6" w:rsidR="00AE6ACB" w:rsidRPr="002A6BF2" w:rsidRDefault="00325010" w:rsidP="00B84A00">
      <w:pPr>
        <w:spacing w:line="276" w:lineRule="auto"/>
        <w:jc w:val="both"/>
        <w:rPr>
          <w:lang w:val="en-US"/>
        </w:rPr>
      </w:pPr>
      <w:r w:rsidRPr="002A6BF2">
        <w:rPr>
          <w:lang w:val="en-US"/>
        </w:rPr>
        <w:t>Fig.</w:t>
      </w:r>
      <w:r w:rsidR="00AE6ACB" w:rsidRPr="002A6BF2">
        <w:rPr>
          <w:lang w:val="en-US"/>
        </w:rPr>
        <w:t xml:space="preserve"> </w:t>
      </w:r>
      <w:r w:rsidR="00704ADD" w:rsidRPr="002A6BF2">
        <w:rPr>
          <w:lang w:val="en-US"/>
        </w:rPr>
        <w:t>4</w:t>
      </w:r>
      <w:r w:rsidR="00AE6ACB" w:rsidRPr="002A6BF2">
        <w:rPr>
          <w:lang w:val="en-US"/>
        </w:rPr>
        <w:t xml:space="preserve"> Pinosylvin titers from </w:t>
      </w:r>
      <w:r w:rsidR="00AE6ACB" w:rsidRPr="002A6BF2">
        <w:rPr>
          <w:i/>
          <w:lang w:val="en-US"/>
        </w:rPr>
        <w:t>de novo</w:t>
      </w:r>
      <w:r w:rsidR="00AE6ACB" w:rsidRPr="002A6BF2">
        <w:rPr>
          <w:lang w:val="en-US"/>
        </w:rPr>
        <w:t xml:space="preserve"> synthesis based on</w:t>
      </w:r>
      <w:r w:rsidR="00A14409" w:rsidRPr="002A6BF2">
        <w:rPr>
          <w:lang w:val="en-US"/>
        </w:rPr>
        <w:t xml:space="preserve"> </w:t>
      </w:r>
      <w:r w:rsidR="005C41AB" w:rsidRPr="002A6BF2">
        <w:rPr>
          <w:i/>
          <w:iCs/>
          <w:lang w:val="en-US"/>
        </w:rPr>
        <w:t xml:space="preserve">P. taiwanensis </w:t>
      </w:r>
      <w:r w:rsidR="00E12AD4" w:rsidRPr="002A6BF2">
        <w:rPr>
          <w:lang w:val="en-US"/>
        </w:rPr>
        <w:t>GRC3</w:t>
      </w:r>
      <w:r w:rsidR="00D95DDB" w:rsidRPr="002A6BF2">
        <w:rPr>
          <w:lang w:val="en-US"/>
        </w:rPr>
        <w:t xml:space="preserve"> </w:t>
      </w:r>
      <w:r w:rsidR="00B94C68" w:rsidRPr="002A6BF2">
        <w:rPr>
          <w:lang w:val="en-US"/>
        </w:rPr>
        <w:t>PHE</w:t>
      </w:r>
      <w:r w:rsidR="00AE6ACB" w:rsidRPr="002A6BF2">
        <w:rPr>
          <w:lang w:val="en-US"/>
        </w:rPr>
        <w:t xml:space="preserve"> </w:t>
      </w:r>
      <w:r w:rsidR="005C41AB" w:rsidRPr="002A6BF2">
        <w:rPr>
          <w:rFonts w:cstheme="minorHAnsi"/>
          <w:i/>
          <w:color w:val="000000" w:themeColor="text1"/>
          <w:lang w:val="en-US"/>
        </w:rPr>
        <w:t>attTn7::P</w:t>
      </w:r>
      <w:r w:rsidR="005C41AB" w:rsidRPr="002A6BF2">
        <w:rPr>
          <w:rFonts w:cstheme="minorHAnsi"/>
          <w:i/>
          <w:color w:val="000000" w:themeColor="text1"/>
          <w:vertAlign w:val="subscript"/>
          <w:lang w:val="en-US"/>
        </w:rPr>
        <w:t>14g</w:t>
      </w:r>
      <w:r w:rsidR="005C41AB" w:rsidRPr="002A6BF2">
        <w:rPr>
          <w:rFonts w:cstheme="minorHAnsi"/>
          <w:i/>
          <w:color w:val="000000" w:themeColor="text1"/>
          <w:lang w:val="en-US"/>
        </w:rPr>
        <w:t>-his.AhSTS-Sc4CL</w:t>
      </w:r>
      <w:r w:rsidR="005C41AB" w:rsidRPr="002A6BF2">
        <w:rPr>
          <w:rFonts w:cstheme="minorHAnsi"/>
          <w:i/>
          <w:color w:val="000000" w:themeColor="text1"/>
          <w:vertAlign w:val="superscript"/>
          <w:lang w:val="en-US"/>
        </w:rPr>
        <w:t>A294G</w:t>
      </w:r>
      <w:r w:rsidR="005C41AB" w:rsidRPr="002A6BF2">
        <w:rPr>
          <w:rFonts w:cstheme="minorHAnsi"/>
          <w:i/>
          <w:color w:val="000000" w:themeColor="text1"/>
          <w:lang w:val="en-US"/>
        </w:rPr>
        <w:t>-</w:t>
      </w:r>
      <w:r w:rsidR="005C41AB" w:rsidRPr="002A6BF2">
        <w:rPr>
          <w:rFonts w:cstheme="minorHAnsi"/>
          <w:i/>
          <w:iCs/>
          <w:color w:val="000000" w:themeColor="text1"/>
          <w:lang w:val="en-US"/>
        </w:rPr>
        <w:t>AtPAL2</w:t>
      </w:r>
      <w:r w:rsidR="005C41AB" w:rsidRPr="002A6BF2">
        <w:rPr>
          <w:rFonts w:cstheme="minorHAnsi"/>
          <w:iCs/>
          <w:color w:val="000000" w:themeColor="text1"/>
          <w:lang w:val="en-US"/>
        </w:rPr>
        <w:t xml:space="preserve"> </w:t>
      </w:r>
      <w:r w:rsidR="00AE6ACB" w:rsidRPr="002A6BF2">
        <w:rPr>
          <w:lang w:val="en-US"/>
        </w:rPr>
        <w:t>with deletions of PHA production cluster</w:t>
      </w:r>
      <w:r w:rsidR="003A2F93" w:rsidRPr="002A6BF2">
        <w:rPr>
          <w:lang w:val="en-US"/>
        </w:rPr>
        <w:t xml:space="preserve"> </w:t>
      </w:r>
      <w:r w:rsidR="003A2F93" w:rsidRPr="002A6BF2">
        <w:rPr>
          <w:i/>
          <w:lang w:val="en-US"/>
        </w:rPr>
        <w:t>phaCZC2</w:t>
      </w:r>
      <w:r w:rsidR="00AE6ACB" w:rsidRPr="002A6BF2">
        <w:rPr>
          <w:lang w:val="en-US"/>
        </w:rPr>
        <w:t>,</w:t>
      </w:r>
      <w:r w:rsidR="00B53FC3" w:rsidRPr="002A6BF2">
        <w:rPr>
          <w:lang w:val="en-US"/>
        </w:rPr>
        <w:t xml:space="preserve"> glucose</w:t>
      </w:r>
      <w:r w:rsidR="007C6041" w:rsidRPr="002A6BF2">
        <w:rPr>
          <w:lang w:val="en-US"/>
        </w:rPr>
        <w:t xml:space="preserve"> </w:t>
      </w:r>
      <w:r w:rsidR="00B53FC3" w:rsidRPr="002A6BF2">
        <w:rPr>
          <w:lang w:val="en-US"/>
        </w:rPr>
        <w:t>dehydrogenase</w:t>
      </w:r>
      <w:r w:rsidR="00AE6ACB" w:rsidRPr="002A6BF2">
        <w:rPr>
          <w:lang w:val="en-US"/>
        </w:rPr>
        <w:t xml:space="preserve"> </w:t>
      </w:r>
      <w:r w:rsidR="007D4B1D" w:rsidRPr="002A6BF2">
        <w:rPr>
          <w:i/>
          <w:lang w:val="en-US"/>
        </w:rPr>
        <w:t>gcd</w:t>
      </w:r>
      <w:r w:rsidR="007D4B1D" w:rsidRPr="002A6BF2">
        <w:rPr>
          <w:lang w:val="en-US"/>
        </w:rPr>
        <w:t xml:space="preserve"> </w:t>
      </w:r>
      <w:r w:rsidR="00AE6ACB" w:rsidRPr="002A6BF2">
        <w:rPr>
          <w:lang w:val="en-US"/>
        </w:rPr>
        <w:t xml:space="preserve">or </w:t>
      </w:r>
      <w:r w:rsidR="000A2080" w:rsidRPr="002A6BF2">
        <w:rPr>
          <w:lang w:val="en-US"/>
        </w:rPr>
        <w:t>t</w:t>
      </w:r>
      <w:r w:rsidR="0070559E" w:rsidRPr="002A6BF2">
        <w:rPr>
          <w:lang w:val="en-US"/>
        </w:rPr>
        <w:t>y</w:t>
      </w:r>
      <w:r w:rsidR="000A2080" w:rsidRPr="002A6BF2">
        <w:rPr>
          <w:lang w:val="en-US"/>
        </w:rPr>
        <w:t xml:space="preserve">pe II </w:t>
      </w:r>
      <w:r w:rsidR="00AE6ACB" w:rsidRPr="002A6BF2">
        <w:rPr>
          <w:lang w:val="en-US"/>
        </w:rPr>
        <w:t xml:space="preserve">thioesterase </w:t>
      </w:r>
      <w:r w:rsidR="007D4B1D" w:rsidRPr="002A6BF2">
        <w:rPr>
          <w:i/>
          <w:lang w:val="en-US"/>
        </w:rPr>
        <w:t>tesB</w:t>
      </w:r>
      <w:r w:rsidR="00AE6ACB" w:rsidRPr="002A6BF2">
        <w:rPr>
          <w:lang w:val="en-US"/>
        </w:rPr>
        <w:t>.</w:t>
      </w:r>
      <w:r w:rsidR="00F36073" w:rsidRPr="002A6BF2">
        <w:rPr>
          <w:lang w:val="en-US"/>
        </w:rPr>
        <w:t xml:space="preserve"> Cultivation in MSM 30 mM glucose</w:t>
      </w:r>
      <w:r w:rsidR="00B53FC3" w:rsidRPr="002A6BF2">
        <w:rPr>
          <w:lang w:val="en-US"/>
        </w:rPr>
        <w:t xml:space="preserve"> with</w:t>
      </w:r>
      <w:r w:rsidR="00F36073" w:rsidRPr="002A6BF2">
        <w:rPr>
          <w:lang w:val="en-US"/>
        </w:rPr>
        <w:t xml:space="preserve"> </w:t>
      </w:r>
      <w:r w:rsidR="008A1E51" w:rsidRPr="002A6BF2">
        <w:rPr>
          <w:lang w:val="en-US"/>
        </w:rPr>
        <w:t>1</w:t>
      </w:r>
      <w:r w:rsidR="00F36073" w:rsidRPr="002A6BF2">
        <w:rPr>
          <w:lang w:val="en-US"/>
        </w:rPr>
        <w:t>x buffer in 1.5 mL square-well System Duetz plate</w:t>
      </w:r>
      <w:r w:rsidR="000A2080" w:rsidRPr="002A6BF2">
        <w:rPr>
          <w:lang w:val="en-US"/>
        </w:rPr>
        <w:t>, initial OD</w:t>
      </w:r>
      <w:r w:rsidR="000A2080" w:rsidRPr="002A6BF2">
        <w:rPr>
          <w:vertAlign w:val="subscript"/>
          <w:lang w:val="en-US"/>
        </w:rPr>
        <w:t>600</w:t>
      </w:r>
      <w:r w:rsidR="000A2080" w:rsidRPr="002A6BF2">
        <w:rPr>
          <w:lang w:val="en-US"/>
        </w:rPr>
        <w:t xml:space="preserve"> </w:t>
      </w:r>
      <w:r w:rsidR="007D4B1D" w:rsidRPr="002A6BF2">
        <w:rPr>
          <w:lang w:val="en-US"/>
        </w:rPr>
        <w:t xml:space="preserve">was </w:t>
      </w:r>
      <w:r w:rsidR="003A2F93" w:rsidRPr="002A6BF2">
        <w:rPr>
          <w:lang w:val="en-US"/>
        </w:rPr>
        <w:t>2</w:t>
      </w:r>
      <w:r w:rsidR="00374864" w:rsidRPr="002A6BF2">
        <w:rPr>
          <w:lang w:val="en-US"/>
        </w:rPr>
        <w:t>. Error</w:t>
      </w:r>
      <w:r w:rsidR="007D4B1D" w:rsidRPr="002A6BF2">
        <w:rPr>
          <w:lang w:val="en-US"/>
        </w:rPr>
        <w:t xml:space="preserve"> bar</w:t>
      </w:r>
      <w:r w:rsidR="00374864" w:rsidRPr="002A6BF2">
        <w:rPr>
          <w:lang w:val="en-US"/>
        </w:rPr>
        <w:t>s represent the standard deviation</w:t>
      </w:r>
      <w:r w:rsidR="000A2080" w:rsidRPr="002A6BF2">
        <w:rPr>
          <w:lang w:val="en-US"/>
        </w:rPr>
        <w:t xml:space="preserve"> (n=</w:t>
      </w:r>
      <w:r w:rsidR="003A2F93" w:rsidRPr="002A6BF2">
        <w:rPr>
          <w:lang w:val="en-US"/>
        </w:rPr>
        <w:t>3</w:t>
      </w:r>
      <w:r w:rsidR="000A2080" w:rsidRPr="002A6BF2">
        <w:rPr>
          <w:lang w:val="en-US"/>
        </w:rPr>
        <w:t>)</w:t>
      </w:r>
      <w:r w:rsidR="00374864" w:rsidRPr="002A6BF2">
        <w:rPr>
          <w:lang w:val="en-US"/>
        </w:rPr>
        <w:t xml:space="preserve"> and significance (p&lt;0.05) is indicated by *</w:t>
      </w:r>
      <w:r w:rsidR="002A48EF" w:rsidRPr="002A6BF2">
        <w:rPr>
          <w:lang w:val="en-US"/>
        </w:rPr>
        <w:t xml:space="preserve"> (****, p</w:t>
      </w:r>
      <w:r w:rsidR="002A48EF" w:rsidRPr="002A6BF2">
        <w:rPr>
          <w:rFonts w:cstheme="minorHAnsi"/>
          <w:lang w:val="en-US"/>
        </w:rPr>
        <w:t>≤</w:t>
      </w:r>
      <w:r w:rsidR="002A48EF" w:rsidRPr="002A6BF2">
        <w:rPr>
          <w:lang w:val="en-US"/>
        </w:rPr>
        <w:t>0.0001)</w:t>
      </w:r>
      <w:r w:rsidR="007D4B1D" w:rsidRPr="002A6BF2">
        <w:rPr>
          <w:lang w:val="en-US"/>
        </w:rPr>
        <w:t xml:space="preserve"> from two-way ANOVA</w:t>
      </w:r>
      <w:r w:rsidR="000A2080" w:rsidRPr="002A6BF2">
        <w:rPr>
          <w:lang w:val="en-US"/>
        </w:rPr>
        <w:t>.</w:t>
      </w:r>
      <w:r w:rsidR="00374864" w:rsidRPr="002A6BF2">
        <w:rPr>
          <w:lang w:val="en-US"/>
        </w:rPr>
        <w:t xml:space="preserve"> Abbreviation: ns, no</w:t>
      </w:r>
      <w:r w:rsidR="007D4B1D" w:rsidRPr="002A6BF2">
        <w:rPr>
          <w:lang w:val="en-US"/>
        </w:rPr>
        <w:t>t</w:t>
      </w:r>
      <w:r w:rsidR="00374864" w:rsidRPr="002A6BF2">
        <w:rPr>
          <w:lang w:val="en-US"/>
        </w:rPr>
        <w:t xml:space="preserve"> significant.</w:t>
      </w:r>
    </w:p>
    <w:p w14:paraId="2ACBDB3A" w14:textId="69A61A35" w:rsidR="00743617" w:rsidRPr="002A6BF2" w:rsidRDefault="00743617" w:rsidP="00B84A00">
      <w:pPr>
        <w:spacing w:line="276" w:lineRule="auto"/>
        <w:jc w:val="both"/>
        <w:rPr>
          <w:lang w:val="en-US"/>
        </w:rPr>
      </w:pPr>
    </w:p>
    <w:p w14:paraId="244850CD" w14:textId="3D924421" w:rsidR="00743617" w:rsidRPr="002A6BF2" w:rsidRDefault="0057738B" w:rsidP="00B84A00">
      <w:pPr>
        <w:pStyle w:val="berschrift2"/>
        <w:numPr>
          <w:ilvl w:val="1"/>
          <w:numId w:val="11"/>
        </w:numPr>
        <w:spacing w:line="276" w:lineRule="auto"/>
        <w:jc w:val="both"/>
        <w:rPr>
          <w:lang w:val="en-US"/>
        </w:rPr>
      </w:pPr>
      <w:r w:rsidRPr="002A6BF2">
        <w:rPr>
          <w:lang w:val="en-US"/>
        </w:rPr>
        <w:lastRenderedPageBreak/>
        <w:t xml:space="preserve">Engineering </w:t>
      </w:r>
      <w:r w:rsidR="00F5223A" w:rsidRPr="002A6BF2">
        <w:rPr>
          <w:lang w:val="en-US"/>
        </w:rPr>
        <w:t xml:space="preserve">the acetyl-CoA node by </w:t>
      </w:r>
      <w:r w:rsidRPr="002A6BF2">
        <w:rPr>
          <w:lang w:val="en-US"/>
        </w:rPr>
        <w:t xml:space="preserve">modulation of </w:t>
      </w:r>
      <w:r w:rsidR="00743617" w:rsidRPr="002A6BF2">
        <w:rPr>
          <w:lang w:val="en-US"/>
        </w:rPr>
        <w:t>citrate synthase activity</w:t>
      </w:r>
      <w:r w:rsidR="00F5223A" w:rsidRPr="002A6BF2">
        <w:rPr>
          <w:lang w:val="en-US"/>
        </w:rPr>
        <w:t>, ACC expression</w:t>
      </w:r>
      <w:r w:rsidR="00743617" w:rsidRPr="002A6BF2">
        <w:rPr>
          <w:lang w:val="en-US"/>
        </w:rPr>
        <w:t xml:space="preserve"> and </w:t>
      </w:r>
      <w:r w:rsidR="001158E7" w:rsidRPr="002A6BF2">
        <w:rPr>
          <w:lang w:val="en-US"/>
        </w:rPr>
        <w:t>deletion of</w:t>
      </w:r>
      <w:r w:rsidR="00743617" w:rsidRPr="002A6BF2">
        <w:rPr>
          <w:lang w:val="en-US"/>
        </w:rPr>
        <w:t xml:space="preserve"> </w:t>
      </w:r>
      <w:r w:rsidRPr="002A6BF2">
        <w:rPr>
          <w:lang w:val="en-US"/>
        </w:rPr>
        <w:t xml:space="preserve">the </w:t>
      </w:r>
      <w:r w:rsidR="00743617" w:rsidRPr="002A6BF2">
        <w:rPr>
          <w:lang w:val="en-US"/>
        </w:rPr>
        <w:t>pyruvate shunt</w:t>
      </w:r>
    </w:p>
    <w:p w14:paraId="69AFC9C2" w14:textId="60B665D3" w:rsidR="00986F8D" w:rsidRPr="002A6BF2" w:rsidRDefault="0081272B" w:rsidP="00B84A00">
      <w:pPr>
        <w:spacing w:line="276" w:lineRule="auto"/>
        <w:jc w:val="both"/>
        <w:rPr>
          <w:lang w:val="en-US"/>
        </w:rPr>
      </w:pPr>
      <w:r w:rsidRPr="002A6BF2">
        <w:rPr>
          <w:lang w:val="en-US"/>
        </w:rPr>
        <w:t>In previous studies</w:t>
      </w:r>
      <w:r w:rsidR="00A54D2C" w:rsidRPr="002A6BF2">
        <w:rPr>
          <w:lang w:val="en-US"/>
        </w:rPr>
        <w:t>,</w:t>
      </w:r>
      <w:r w:rsidRPr="002A6BF2">
        <w:rPr>
          <w:lang w:val="en-US"/>
        </w:rPr>
        <w:t xml:space="preserve"> downregulation of </w:t>
      </w:r>
      <w:r w:rsidR="00B876C8" w:rsidRPr="002A6BF2">
        <w:rPr>
          <w:lang w:val="en-US"/>
        </w:rPr>
        <w:t xml:space="preserve">the </w:t>
      </w:r>
      <w:r w:rsidRPr="002A6BF2">
        <w:rPr>
          <w:lang w:val="en-US"/>
        </w:rPr>
        <w:t>citrate synthase</w:t>
      </w:r>
      <w:r w:rsidR="00507376" w:rsidRPr="002A6BF2">
        <w:rPr>
          <w:lang w:val="en-US"/>
        </w:rPr>
        <w:t>,</w:t>
      </w:r>
      <w:r w:rsidRPr="002A6BF2">
        <w:rPr>
          <w:lang w:val="en-US"/>
        </w:rPr>
        <w:t xml:space="preserve"> </w:t>
      </w:r>
      <w:r w:rsidR="00507376" w:rsidRPr="002A6BF2">
        <w:rPr>
          <w:lang w:val="en-US"/>
        </w:rPr>
        <w:t xml:space="preserve">the pace-making enzyme of the TCA cycle, </w:t>
      </w:r>
      <w:r w:rsidRPr="002A6BF2">
        <w:rPr>
          <w:lang w:val="en-US"/>
        </w:rPr>
        <w:t>increased acetyl-CoA</w:t>
      </w:r>
      <w:r w:rsidR="0072500A" w:rsidRPr="002A6BF2">
        <w:rPr>
          <w:lang w:val="en-US"/>
        </w:rPr>
        <w:t xml:space="preserve"> availability</w:t>
      </w:r>
      <w:r w:rsidR="00013CBA" w:rsidRPr="002A6BF2">
        <w:rPr>
          <w:lang w:val="en-US"/>
        </w:rPr>
        <w:t xml:space="preserve"> in </w:t>
      </w:r>
      <w:r w:rsidR="00013CBA" w:rsidRPr="002A6BF2">
        <w:rPr>
          <w:i/>
          <w:lang w:val="en-US"/>
        </w:rPr>
        <w:t>P. putida</w:t>
      </w:r>
      <w:r w:rsidR="00BA2332" w:rsidRPr="002A6BF2">
        <w:rPr>
          <w:lang w:val="en-US"/>
        </w:rPr>
        <w:t xml:space="preserve"> </w:t>
      </w:r>
      <w:r w:rsidR="00BA2332" w:rsidRPr="002A6BF2">
        <w:rPr>
          <w:lang w:val="en-US"/>
        </w:rPr>
        <w:fldChar w:fldCharType="begin" w:fldLock="1"/>
      </w:r>
      <w:r w:rsidR="00D40894" w:rsidRPr="002A6BF2">
        <w:rPr>
          <w:lang w:val="en-US"/>
        </w:rPr>
        <w:instrText>ADDIN CSL_CITATION {"citationItems":[{"id":"ITEM-1","itemData":{"DOI":"10.1016/j.ymben.2021.07.014","ISSN":"1043-6618","author":[{"dropping-particle":"","family":"Kozaeva","given":"Ekaterina","non-dropping-particle":"","parse-names":false,"suffix":""},{"dropping-particle":"","family":"Volkova","given":"Svetlana","non-dropping-particle":"","parse-names":false,"suffix":""},{"dropping-particle":"","family":"Matos","given":"Marta R.A.","non-dropping-particle":"","parse-names":false,"suffix":""},{"dropping-particle":"","family":"Mezzina","given":"Mariela P.","non-dropping-particle":"","parse-names":false,"suffix":""},{"dropping-particle":"","family":"Wulff","given":"Tune","non-dropping-particle":"","parse-names":false,"suffix":""},{"dropping-particle":"","family":"Volke","given":"Daniel C.","non-dropping-particle":"","parse-names":false,"suffix":""},{"dropping-particle":"","family":"Nielsen","given":"Lars K.","non-dropping-particle":"","parse-names":false,"suffix":""},{"dropping-particle":"","family":"Nikel","given":"Pablo I.","non-dropping-particle":"","parse-names":false,"suffix":""}],"container-title":"Metabolic Engineering","id":"ITEM-1","issued":{"date-parts":[["2021"]]},"note":"host SEM3.1 is strain P. putida EM42 del benBCD, phaCZC2DFI (genome reduced KT2440)\n\nrepression of gltA and accA together increased acetyl-CoA availability by 8-fold (gltA repression is likely the major factor here but they act synergistic not necessarily additive)\n\nPHB can be produced from phaABC and from NphT7-phaBC which uses one malonyl-CoA and one acetyl-CoA","page":"373-386","publisher":"International Metabolic Engineering Society","title":"Model-guided dynamic control of essential metabolic nodes boosts acetyl-coenzyme A–dependent bioproduction in rewired &lt;i&gt;Pseudomonas putida&lt;/i&gt;","type":"article-journal","volume":"67"},"uris":["http://www.mendeley.com/documents/?uuid=bc4c7cc0-e3cd-43b3-baaa-d217eff392af"]}],"mendeley":{"formattedCitation":"(Kozaeva et al., 2021)","plainTextFormattedCitation":"(Kozaeva et al., 2021)","previouslyFormattedCitation":"(Kozaeva et al., 2021)"},"properties":{"noteIndex":0},"schema":"https://github.com/citation-style-language/schema/raw/master/csl-citation.json"}</w:instrText>
      </w:r>
      <w:r w:rsidR="00BA2332" w:rsidRPr="002A6BF2">
        <w:rPr>
          <w:lang w:val="en-US"/>
        </w:rPr>
        <w:fldChar w:fldCharType="separate"/>
      </w:r>
      <w:r w:rsidR="00B255F3" w:rsidRPr="002A6BF2">
        <w:rPr>
          <w:noProof/>
          <w:lang w:val="en-US"/>
        </w:rPr>
        <w:t>(Kozaeva et al., 2021)</w:t>
      </w:r>
      <w:r w:rsidR="00BA2332" w:rsidRPr="002A6BF2">
        <w:rPr>
          <w:lang w:val="en-US"/>
        </w:rPr>
        <w:fldChar w:fldCharType="end"/>
      </w:r>
      <w:r w:rsidR="005C41AB" w:rsidRPr="002A6BF2">
        <w:rPr>
          <w:lang w:val="en-US"/>
        </w:rPr>
        <w:t>. It also increased</w:t>
      </w:r>
      <w:r w:rsidRPr="002A6BF2">
        <w:rPr>
          <w:lang w:val="en-US"/>
        </w:rPr>
        <w:t xml:space="preserve"> malonyl-CoA availability</w:t>
      </w:r>
      <w:r w:rsidR="00013CBA" w:rsidRPr="002A6BF2">
        <w:rPr>
          <w:lang w:val="en-US"/>
        </w:rPr>
        <w:t xml:space="preserve"> in </w:t>
      </w:r>
      <w:r w:rsidR="00013CBA" w:rsidRPr="002A6BF2">
        <w:rPr>
          <w:i/>
          <w:lang w:val="en-US"/>
        </w:rPr>
        <w:t>C.</w:t>
      </w:r>
      <w:r w:rsidR="003A2F93" w:rsidRPr="002A6BF2">
        <w:rPr>
          <w:i/>
          <w:lang w:val="en-US"/>
        </w:rPr>
        <w:t> </w:t>
      </w:r>
      <w:r w:rsidR="00013CBA" w:rsidRPr="002A6BF2">
        <w:rPr>
          <w:i/>
          <w:lang w:val="en-US"/>
        </w:rPr>
        <w:t>glutamicum</w:t>
      </w:r>
      <w:r w:rsidR="00013CBA" w:rsidRPr="002A6BF2">
        <w:rPr>
          <w:lang w:val="en-US"/>
        </w:rPr>
        <w:t xml:space="preserve">, if combined with deregulated </w:t>
      </w:r>
      <w:r w:rsidR="00E8362B" w:rsidRPr="002A6BF2">
        <w:rPr>
          <w:lang w:val="en-US"/>
        </w:rPr>
        <w:t xml:space="preserve">expression of the gene for </w:t>
      </w:r>
      <w:r w:rsidR="00013CBA" w:rsidRPr="002A6BF2">
        <w:rPr>
          <w:lang w:val="en-US"/>
        </w:rPr>
        <w:t>acetyl</w:t>
      </w:r>
      <w:r w:rsidR="00013CBA" w:rsidRPr="002A6BF2">
        <w:rPr>
          <w:lang w:val="en-US"/>
        </w:rPr>
        <w:noBreakHyphen/>
        <w:t>CoA carboxylase</w:t>
      </w:r>
      <w:r w:rsidR="00507376" w:rsidRPr="002A6BF2">
        <w:rPr>
          <w:lang w:val="en-US"/>
        </w:rPr>
        <w:t xml:space="preserve"> (ACC)</w:t>
      </w:r>
      <w:r w:rsidRPr="002A6BF2">
        <w:rPr>
          <w:lang w:val="en-US"/>
        </w:rPr>
        <w:t xml:space="preserve"> </w:t>
      </w:r>
      <w:r w:rsidR="00CC7396" w:rsidRPr="002A6BF2">
        <w:rPr>
          <w:lang w:val="en-US"/>
        </w:rPr>
        <w:fldChar w:fldCharType="begin" w:fldLock="1"/>
      </w:r>
      <w:r w:rsidR="00D40894" w:rsidRPr="002A6BF2">
        <w:rPr>
          <w:lang w:val="en-US"/>
        </w:rPr>
        <w:instrText>ADDIN CSL_CITATION {"citationItems":[{"id":"ITEM-1","itemData":{"DOI":"10.1002/bit.26939","ISSN":"10970290","abstract":"In recent years microorganisms have been engineered towards synthesizing interesting plant polyphenols such as flavonoids and stilbenes from glucose. Currently, the low endogenous supply of malonyl-CoA, indispensable for plant polyphenol synthesis, impedes high product titers. Usually, limited malonyl-CoA availability during plant polyphenol production is avoided by supplementing fatty acid synthesis-inhibiting antibiotics such as cerulenin, which are known to increase the intracellular malonyl-CoA pool as a side effect. Motivated by the goal of microbial polyphenol synthesis being independent of such expensive additives, we used rational metabolic engineering approaches to modulate regulation of fatty acid synthesis and flux into the tricarboxylic acid cycle (TCA cycle) in Corynebacterium glutamicum strains capable of flavonoid and stilbene synthesis. Initial experiments showed that sole overexpression of genes coding for the native malonyl-CoA-forming acetyl-CoA carboxylase is not sufficient for increasing polyphenol production in C. glutamicum. Hence, the intracellular acetyl-CoA availability was also increased by reducing the flux into the TCA cycle through reduction of citrate synthase activity. In defined cultivation medium, the constructed C. glutamicum strains accumulated 24 mg·L −1 (0.088 mM) naringenin or 112 mg·L −1 (0.49 mM) resveratrol from glucose without supplementation of phenylpropanoid precursor molecules or any inhibitors of fatty acid synthesis.","author":[{"dropping-particle":"","family":"Milke","given":"Lars","non-dropping-particle":"","parse-names":false,"suffix":""},{"dropping-particle":"","family":"Ferreira","given":"Patrícia","non-dropping-particle":"","parse-names":false,"suffix":""},{"dropping-particle":"","family":"Kallscheuer","given":"Nicolai","non-dropping-particle":"","parse-names":false,"suffix":""},{"dropping-particle":"","family":"Braga","given":"Adelaide","non-dropping-particle":"","parse-names":false,"suffix":""},{"dropping-particle":"","family":"Vogt","given":"Michael","non-dropping-particle":"","parse-names":false,"suffix":""},{"dropping-particle":"","family":"Kappelmann","given":"Jannick","non-dropping-particle":"","parse-names":false,"suffix":""},{"dropping-particle":"","family":"Oliveira","given":"Joana","non-dropping-particle":"","parse-names":false,"suffix":""},{"dropping-particle":"","family":"Silva","given":"Ana Rita","non-dropping-particle":"","parse-names":false,"suffix":""},{"dropping-particle":"","family":"Rocha","given":"Isabel","non-dropping-particle":"","parse-names":false,"suffix":""},{"dropping-particle":"","family":"Bott","given":"Michael","non-dropping-particle":"","parse-names":false,"suffix":""},{"dropping-particle":"","family":"Noack","given":"Stephan","non-dropping-particle":"","parse-names":false,"suffix":""},{"dropping-particle":"","family":"Faria","given":"Nuno","non-dropping-particle":"","parse-names":false,"suffix":""},{"dropping-particle":"","family":"Marienhagen","given":"Jan","non-dropping-particle":"","parse-names":false,"suffix":""}],"container-title":"Biotechnology and Bioengineering","id":"ITEM-1","issue":"6","issued":{"date-parts":[["2019"]]},"page":"1380-1391","title":"Modulation of the central carbon metabolism of &lt;i&gt;Corynebacterium glutamicum&lt;/i&gt; improves malonyl-CoA availability and increases plant polyphenol synthesis","type":"article-journal","volume":"116"},"uris":["http://www.mendeley.com/documents/?uuid=3f6f1c2b-d76b-40ca-9f43-c854e7a6706e"]},{"id":"ITEM-2","itemData":{"DOI":"10.1186/s12934-019-1117-x","ISSN":"14752859","abstract":"Background: In the last years, different biotechnologically relevant microorganisms have been engineered for the synthesis of plant polyphenols such as flavonoids and stilbenes. However, low intracellular availability of malonyl-CoA as essential precursor for most plant polyphenols of interest is regarded as the decisive bottleneck preventing high product titers. Results: In this study, Corynebacterium glutamicum, which emerged as promising cell factory for plant polyphenol production, was tailored by rational metabolic engineering towards providing significantly more malonyl-CoA for product synthesis. This was achieved by improving carbon source uptake, transcriptional deregulation of accBC and accD1 encoding the two subunits of the acetyl-CoA carboxylase (ACC), reduced flux into the tricarboxylic acid (TCA) cycle, and elimination of anaplerotic carboxylation of pyruvate. The constructed strains were used for the synthesis of the pharmacologically interesting plant pentaketide noreugenin, which is produced by plants such as Aloe arborescens from five molecules of malonyl-CoA. In this context, accumulation of the C 1 /C 6 cyclized intermediate 1-(2,4,6-trihydroxyphenyl)butane-1,3-dione (TPBD) was observed, which could be fully cyclized to the bicyclic product noreugenin by acidification. Conclusion: The best strain C. glutamicum Nor2 C5 mufasO BCD1 P O6 -iolT1 Δpyc allowed for synthesis of 53.32 mg/L (0.278 mM) noreugenin in CGXII medium supplemented with casamino acids within 24 h.","author":[{"dropping-particle":"","family":"Milke","given":"Lars","non-dropping-particle":"","parse-names":false,"suffix":""},{"dropping-particle":"","family":"Kallscheuer","given":"Nicolai","non-dropping-particle":"","parse-names":false,"suffix":""},{"dropping-particle":"","family":"Kappelmann","given":"Jannick","non-dropping-particle":"","parse-names":false,"suffix":""},{"dropping-particle":"","family":"Marienhagen","given":"Jan","non-dropping-particle":"","parse-names":false,"suffix":""}],"container-title":"Microbial Cell Factories","id":"ITEM-2","issue":"1","issued":{"date-parts":[["2019"]]},"page":"1-12","publisher":"BioMed Central","title":"Tailoring &lt;i&gt;Corynebacterium glutamicum&lt;/i&gt; towards increased malonyl-CoA availability for efficient synthesis of the plant pentaketide noreugenin","type":"article-journal","volume":"18"},"uris":["http://www.mendeley.com/documents/?uuid=826f7b05-dd1f-4060-bad3-d418f200fecc"]}],"mendeley":{"formattedCitation":"(Milke, Ferreira, et al., 2019; Milke, Kallscheuer, et al., 2019)","plainTextFormattedCitation":"(Milke, Ferreira, et al., 2019; Milke, Kallscheuer, et al., 2019)","previouslyFormattedCitation":"(Milke, Ferreira, et al., 2019; Milke, Kallscheuer, et al., 2019)"},"properties":{"noteIndex":0},"schema":"https://github.com/citation-style-language/schema/raw/master/csl-citation.json"}</w:instrText>
      </w:r>
      <w:r w:rsidR="00CC7396" w:rsidRPr="002A6BF2">
        <w:rPr>
          <w:lang w:val="en-US"/>
        </w:rPr>
        <w:fldChar w:fldCharType="separate"/>
      </w:r>
      <w:r w:rsidR="00B255F3" w:rsidRPr="002A6BF2">
        <w:rPr>
          <w:noProof/>
          <w:lang w:val="en-US"/>
        </w:rPr>
        <w:t>(Milke, Ferreira, et al., 2019; Milke, Kallscheuer, et al., 2019)</w:t>
      </w:r>
      <w:r w:rsidR="00CC7396" w:rsidRPr="002A6BF2">
        <w:rPr>
          <w:lang w:val="en-US"/>
        </w:rPr>
        <w:fldChar w:fldCharType="end"/>
      </w:r>
      <w:r w:rsidRPr="002A6BF2">
        <w:rPr>
          <w:lang w:val="en-US"/>
        </w:rPr>
        <w:t>.</w:t>
      </w:r>
      <w:r w:rsidR="00347F5E" w:rsidRPr="002A6BF2">
        <w:rPr>
          <w:lang w:val="en-US"/>
        </w:rPr>
        <w:t xml:space="preserve"> The fact that formate supplementation increased pinosylvin production in our </w:t>
      </w:r>
      <w:r w:rsidR="00347F5E" w:rsidRPr="002A6BF2">
        <w:rPr>
          <w:i/>
          <w:iCs/>
          <w:lang w:val="en-US"/>
        </w:rPr>
        <w:t xml:space="preserve">P. taiwanensis </w:t>
      </w:r>
      <w:r w:rsidR="006A299E" w:rsidRPr="002A6BF2">
        <w:rPr>
          <w:lang w:val="en-US"/>
        </w:rPr>
        <w:t xml:space="preserve">GRC3 PHE </w:t>
      </w:r>
      <w:r w:rsidR="00347F5E" w:rsidRPr="002A6BF2">
        <w:rPr>
          <w:lang w:val="en-US"/>
        </w:rPr>
        <w:t>platform also indicates that a reduced TCA cycle flux increases malonyl-CoA availability.</w:t>
      </w:r>
      <w:r w:rsidR="00013CBA" w:rsidRPr="002A6BF2">
        <w:rPr>
          <w:lang w:val="en-US"/>
        </w:rPr>
        <w:t xml:space="preserve"> </w:t>
      </w:r>
      <w:r w:rsidR="00507376" w:rsidRPr="002A6BF2">
        <w:rPr>
          <w:lang w:val="en-US"/>
        </w:rPr>
        <w:t xml:space="preserve">Thus, we sought to </w:t>
      </w:r>
      <w:r w:rsidR="00D175CD" w:rsidRPr="002A6BF2">
        <w:rPr>
          <w:lang w:val="en-US"/>
        </w:rPr>
        <w:t xml:space="preserve">decrease </w:t>
      </w:r>
      <w:r w:rsidR="00FB775C" w:rsidRPr="002A6BF2">
        <w:rPr>
          <w:lang w:val="en-US"/>
        </w:rPr>
        <w:t>the flux into the TCA cycle by</w:t>
      </w:r>
      <w:r w:rsidR="00347F5E" w:rsidRPr="002A6BF2">
        <w:rPr>
          <w:lang w:val="en-US"/>
        </w:rPr>
        <w:t xml:space="preserve"> rational strain engineering </w:t>
      </w:r>
      <w:r w:rsidR="00383867" w:rsidRPr="002A6BF2">
        <w:rPr>
          <w:lang w:val="en-US"/>
        </w:rPr>
        <w:t>in the phenylalanine platform</w:t>
      </w:r>
      <w:r w:rsidR="0072500A" w:rsidRPr="002A6BF2">
        <w:rPr>
          <w:lang w:val="en-US"/>
        </w:rPr>
        <w:t>.</w:t>
      </w:r>
    </w:p>
    <w:p w14:paraId="71C22251" w14:textId="1FACBBD3" w:rsidR="00B301AF" w:rsidRPr="002A6BF2" w:rsidRDefault="00B301AF" w:rsidP="00B84A00">
      <w:pPr>
        <w:spacing w:line="276" w:lineRule="auto"/>
        <w:jc w:val="both"/>
        <w:rPr>
          <w:lang w:val="en-US"/>
        </w:rPr>
      </w:pPr>
      <w:r w:rsidRPr="002A6BF2">
        <w:rPr>
          <w:lang w:val="en-US"/>
        </w:rPr>
        <w:t xml:space="preserve">Attempts to delete the </w:t>
      </w:r>
      <w:r w:rsidRPr="002A6BF2">
        <w:rPr>
          <w:i/>
          <w:iCs/>
          <w:lang w:val="en-US"/>
        </w:rPr>
        <w:t xml:space="preserve">gltA </w:t>
      </w:r>
      <w:r w:rsidRPr="002A6BF2">
        <w:rPr>
          <w:lang w:val="en-US"/>
        </w:rPr>
        <w:t>gene encoding citrate synthase (PVLB_16320) were unsuccessful in our hands, likely because this gene is considered essential for growth (</w:t>
      </w:r>
      <w:r w:rsidRPr="002A6BF2">
        <w:rPr>
          <w:lang w:val="en-US"/>
        </w:rPr>
        <w:fldChar w:fldCharType="begin" w:fldLock="1"/>
      </w:r>
      <w:r w:rsidR="00776DBE" w:rsidRPr="002A6BF2">
        <w:rPr>
          <w:lang w:val="en-US"/>
        </w:rPr>
        <w:instrText>ADDIN CSL_CITATION {"citationItems":[{"id":"ITEM-1","itemData":{"DOI":"10.1111/j.1462-2920.2010.02166.x","ISSN":"14622912","abstract":"In silico models for Pseudomonas putida KT2440 metabolism predict 68 genes to be essential for growth on minimal medium. In this study a genomewide collection of single-gene P. putida KT2440 knockouts was generated by mini-Tn5 transposon mutagenesis and used to identify genes essential for growth in minimal medium with glucose. Our screening of the knockout library allowed us to rescue mutants for 48 different knockouts that were conditionally essential for growth on minimal medium. The in vivo screening showed that 24 of these mutants had a insertion in genes proposed to be conditionally essential based on in silico models, whereas another 24 newly implicated conditionally essential genes have been found. For 10 of the in silico proposed conditionally essential genes not found in the screening, knockout mutants were available at the Pseudomonas Reference Culture Collection. These mutants were tested for conditional growth on minimal medium, but none of them was shown to be essential, suggesting that the in silico proposal was inaccurate. Among the set of identified conditionally essential genes were a number of genes involved in the biosynthesis of certain amino acids and vitamins. Auxotrophs for all amino acids predicted by the in silico models were found and, in addition, we also found auxotrophs for proline, serine, threonine and methionine, as well as auxotrophs for biotin, nicotinate and vitamin B12 that were not predicted in silico. Metabolic tests were performed to validate the mutants' phenotypes. Auxotrophies for L-Arg, L-Leu, L-Pro and L-Cys were bypassed by external addition of the corresponding D-amino acids, suggesting the existence of number of D-to L-amino acid racemases encoded by the KT2440 genome. Therefore, the in vivo high-throughput analysis presented here provides relevant insights into the metabolic cross-road of biosynthetic pathways in this microorganism, as well as valuable information for the fine tuning of current in silico metabolic models. © 2010 Society for Applied Microbiology and Blackwell Publishing Ltd.","author":[{"dropping-particle":"","family":"Molina-Henares","given":"M. Antonia","non-dropping-particle":"","parse-names":false,"suffix":""},{"dropping-particle":"","family":"la Torre","given":"Jesús","non-dropping-particle":"de","parse-names":false,"suffix":""},{"dropping-particle":"","family":"García-Salamanca","given":"Adela","non-dropping-particle":"","parse-names":false,"suffix":""},{"dropping-particle":"","family":"Molina-Henares","given":"A. Jesús","non-dropping-particle":"","parse-names":false,"suffix":""},{"dropping-particle":"","family":"Herrera","given":"M. Carmen","non-dropping-particle":"","parse-names":false,"suffix":""},{"dropping-particle":"","family":"Ramos","given":"Juan L.","non-dropping-particle":"","parse-names":false,"suffix":""},{"dropping-particle":"","family":"Duque","given":"Estrella","non-dropping-particle":"","parse-names":false,"suffix":""}],"container-title":"Environmental Microbiology","id":"ITEM-1","issue":"6","issued":{"date-parts":[["2010"]]},"page":"1468-1485","title":"Identification of conditionally essential genes for growth of &lt;i&gt;Pseudomonas putida&lt;/i&gt; KT2440 on minimal medium through the screening of a genome-wide mutant library","type":"article-journal","volume":"12"},"uris":["http://www.mendeley.com/documents/?uuid=de087634-30cb-4fbb-aab7-600a3cce8d30"]}],"mendeley":{"formattedCitation":"(Molina-Henares et al., 2010)","manualFormatting":"Molina-Henares et al. 2010)","plainTextFormattedCitation":"(Molina-Henares et al., 2010)","previouslyFormattedCitation":"(Molina-Henares et al., 2010)"},"properties":{"noteIndex":0},"schema":"https://github.com/citation-style-language/schema/raw/master/csl-citation.json"}</w:instrText>
      </w:r>
      <w:r w:rsidRPr="002A6BF2">
        <w:rPr>
          <w:lang w:val="en-US"/>
        </w:rPr>
        <w:fldChar w:fldCharType="separate"/>
      </w:r>
      <w:r w:rsidRPr="002A6BF2">
        <w:rPr>
          <w:noProof/>
          <w:lang w:val="en-US"/>
        </w:rPr>
        <w:t xml:space="preserve">Molina-Henares </w:t>
      </w:r>
      <w:r w:rsidRPr="002A6BF2">
        <w:rPr>
          <w:i/>
          <w:noProof/>
          <w:lang w:val="en-US"/>
        </w:rPr>
        <w:t>et al.</w:t>
      </w:r>
      <w:r w:rsidRPr="002A6BF2">
        <w:rPr>
          <w:noProof/>
          <w:lang w:val="en-US"/>
        </w:rPr>
        <w:t xml:space="preserve"> 2010)</w:t>
      </w:r>
      <w:r w:rsidRPr="002A6BF2">
        <w:rPr>
          <w:lang w:val="en-US"/>
        </w:rPr>
        <w:fldChar w:fldCharType="end"/>
      </w:r>
      <w:r w:rsidRPr="002A6BF2">
        <w:rPr>
          <w:lang w:val="en-US"/>
        </w:rPr>
        <w:t xml:space="preserve">. We therefore sought to reduce GltA activity with two complementary approaches. </w:t>
      </w:r>
    </w:p>
    <w:p w14:paraId="15BF9357" w14:textId="675F4D72" w:rsidR="0072500A" w:rsidRPr="002A6BF2" w:rsidRDefault="008529E7" w:rsidP="00B84A00">
      <w:pPr>
        <w:spacing w:line="276" w:lineRule="auto"/>
        <w:jc w:val="both"/>
        <w:rPr>
          <w:lang w:val="en-US"/>
        </w:rPr>
      </w:pPr>
      <w:r w:rsidRPr="002A6BF2">
        <w:rPr>
          <w:lang w:val="en-US"/>
        </w:rPr>
        <w:t>T</w:t>
      </w:r>
      <w:r w:rsidR="0072500A" w:rsidRPr="002A6BF2">
        <w:rPr>
          <w:lang w:val="en-US"/>
        </w:rPr>
        <w:t xml:space="preserve">he promoter region upstream of </w:t>
      </w:r>
      <w:r w:rsidR="00CE5928" w:rsidRPr="002A6BF2">
        <w:rPr>
          <w:i/>
          <w:lang w:val="en-US"/>
        </w:rPr>
        <w:t>g</w:t>
      </w:r>
      <w:r w:rsidR="0072500A" w:rsidRPr="002A6BF2">
        <w:rPr>
          <w:i/>
          <w:lang w:val="en-US"/>
        </w:rPr>
        <w:t>ltA</w:t>
      </w:r>
      <w:r w:rsidR="0072500A" w:rsidRPr="002A6BF2">
        <w:rPr>
          <w:lang w:val="en-US"/>
        </w:rPr>
        <w:t xml:space="preserve"> (</w:t>
      </w:r>
      <w:r w:rsidR="0072500A" w:rsidRPr="002A6BF2">
        <w:rPr>
          <w:i/>
          <w:lang w:val="en-US"/>
        </w:rPr>
        <w:t>P</w:t>
      </w:r>
      <w:r w:rsidR="00987684" w:rsidRPr="002A6BF2">
        <w:rPr>
          <w:i/>
          <w:vertAlign w:val="subscript"/>
          <w:lang w:val="en-US"/>
        </w:rPr>
        <w:t>g</w:t>
      </w:r>
      <w:r w:rsidR="0072500A" w:rsidRPr="002A6BF2">
        <w:rPr>
          <w:i/>
          <w:vertAlign w:val="subscript"/>
          <w:lang w:val="en-US"/>
        </w:rPr>
        <w:t>ltA</w:t>
      </w:r>
      <w:r w:rsidR="0072500A" w:rsidRPr="002A6BF2">
        <w:rPr>
          <w:lang w:val="en-US"/>
        </w:rPr>
        <w:t>) was predicted by BPROM</w:t>
      </w:r>
      <w:r w:rsidR="0051582F" w:rsidRPr="002A6BF2">
        <w:rPr>
          <w:lang w:val="en-US"/>
        </w:rPr>
        <w:t xml:space="preserve"> </w:t>
      </w:r>
      <w:r w:rsidR="0051582F" w:rsidRPr="002A6BF2">
        <w:rPr>
          <w:lang w:val="en-US"/>
        </w:rPr>
        <w:fldChar w:fldCharType="begin" w:fldLock="1"/>
      </w:r>
      <w:r w:rsidR="00667817" w:rsidRPr="002A6BF2">
        <w:rPr>
          <w:lang w:val="en-US"/>
        </w:rPr>
        <w:instrText>ADDIN CSL_CITATION {"citationItems":[{"id":"ITEM-1","itemData":{"DOI":"10.5040/9781635577068-0083","ISBN":"9781616686826","author":[{"dropping-particle":"","family":"Solovyev","given":"Victor","non-dropping-particle":"","parse-names":false,"suffix":""},{"dropping-particle":"","family":"Salamov","given":"Asaf","non-dropping-particle":"","parse-names":false,"suffix":""}],"container-title":"Metagenomics and its Applications in Agriculture, Biomedicine and Environmental Studies","editor":[{"dropping-particle":"","family":"Li","given":"Robert W.","non-dropping-particle":"","parse-names":false,"suffix":""}],"id":"ITEM-1","issued":{"date-parts":[["2011"]]},"page":"61-78","publisher":"Nova Science Publishers","title":"Automatic Annotation of Microbial Genomes and Metagenomic Sequences","type":"chapter"},"uris":["http://www.mendeley.com/documents/?uuid=cb3d1424-e81c-4851-be59-57f926e99874"]}],"mendeley":{"formattedCitation":"(Solovyev &amp; Salamov, 2011)","plainTextFormattedCitation":"(Solovyev &amp; Salamov, 2011)","previouslyFormattedCitation":"(Solovyev &amp; Salamov, 2011)"},"properties":{"noteIndex":0},"schema":"https://github.com/citation-style-language/schema/raw/master/csl-citation.json"}</w:instrText>
      </w:r>
      <w:r w:rsidR="0051582F" w:rsidRPr="002A6BF2">
        <w:rPr>
          <w:lang w:val="en-US"/>
        </w:rPr>
        <w:fldChar w:fldCharType="separate"/>
      </w:r>
      <w:r w:rsidR="0051582F" w:rsidRPr="002A6BF2">
        <w:rPr>
          <w:noProof/>
          <w:lang w:val="en-US"/>
        </w:rPr>
        <w:t>(Solovyev &amp; Salamov, 2011)</w:t>
      </w:r>
      <w:r w:rsidR="0051582F" w:rsidRPr="002A6BF2">
        <w:rPr>
          <w:lang w:val="en-US"/>
        </w:rPr>
        <w:fldChar w:fldCharType="end"/>
      </w:r>
      <w:r w:rsidR="0072500A" w:rsidRPr="002A6BF2">
        <w:rPr>
          <w:lang w:val="en-US"/>
        </w:rPr>
        <w:t xml:space="preserve"> and exchanged by the weak synthetic promoter </w:t>
      </w:r>
      <w:r w:rsidR="00AB262A" w:rsidRPr="002A6BF2">
        <w:rPr>
          <w:i/>
          <w:lang w:val="en-US"/>
        </w:rPr>
        <w:t>P</w:t>
      </w:r>
      <w:r w:rsidR="00AB262A" w:rsidRPr="002A6BF2">
        <w:rPr>
          <w:i/>
          <w:vertAlign w:val="subscript"/>
          <w:lang w:val="en-US"/>
        </w:rPr>
        <w:t>14a</w:t>
      </w:r>
      <w:r w:rsidR="0072500A" w:rsidRPr="002A6BF2">
        <w:rPr>
          <w:lang w:val="en-US"/>
        </w:rPr>
        <w:t xml:space="preserve"> together with a bicistronic design</w:t>
      </w:r>
      <w:r w:rsidR="00B511E3" w:rsidRPr="002A6BF2">
        <w:rPr>
          <w:lang w:val="en-US"/>
        </w:rPr>
        <w:t xml:space="preserve"> element</w:t>
      </w:r>
      <w:r w:rsidR="00987684" w:rsidRPr="002A6BF2">
        <w:rPr>
          <w:lang w:val="en-US"/>
        </w:rPr>
        <w:t xml:space="preserve"> (</w:t>
      </w:r>
      <w:r w:rsidR="00AB262A" w:rsidRPr="002A6BF2">
        <w:rPr>
          <w:lang w:val="en-US"/>
        </w:rPr>
        <w:t>BCD2</w:t>
      </w:r>
      <w:r w:rsidR="00987684" w:rsidRPr="002A6BF2">
        <w:rPr>
          <w:lang w:val="en-US"/>
        </w:rPr>
        <w:t>)</w:t>
      </w:r>
      <w:r w:rsidR="001B0007" w:rsidRPr="002A6BF2">
        <w:rPr>
          <w:lang w:val="en-US"/>
        </w:rPr>
        <w:t xml:space="preserve"> </w:t>
      </w:r>
      <w:r w:rsidR="001B0007" w:rsidRPr="002A6BF2">
        <w:rPr>
          <w:lang w:val="en-US"/>
        </w:rPr>
        <w:fldChar w:fldCharType="begin" w:fldLock="1"/>
      </w:r>
      <w:r w:rsidR="006F6EB0" w:rsidRPr="002A6BF2">
        <w:rPr>
          <w:lang w:val="en-US"/>
        </w:rPr>
        <w:instrText xml:space="preserve">ADDIN CSL_CITATION {"citationItems":[{"id":"ITEM-1","itemData":{"DOI":"10.1021/acssynbio.5b00058","ISSN":"21615063","abstract":"The soil bacterium Pseudomonas putida is increasingly attracting considerable interest as a platform for advanced metabolic engineering through synthetic biology approaches. However, genomic context, gene copy number, and transcription/translation interplay often introduce considerable uncertainty to the design of reliable genetic constructs. In this work, we have established a standardized heterologous expression device in which the promoter strength is the only variable; the remaining parameters of the flow have stable default values. To this end, we tailored a mini-Tn7 delivery transposon vector that inserts the constructs in a single genomic locus of P. putidas chromosome. This was then merged with a promoter insertion site, an unvarying translational coupler, and a downstream location for placing the gene(s) of interest under fixed assembly rules. This arrangement was exploited to benchmark a collection of synthetic promoters with low transcriptional noise in this bacterial host. Growth experiments and flow cytometry with single-copy promoter-GFP constructs revealed a robust, constitutive behavior of these promoters, whose strengths and properties could be faithfully compared. This standardized expression device significantly extends the repertoire of tools available for reliable metabolic engineering and other genetic enhancements of P. putida.","author":[{"dropping-particle":"","family":"Zobel","given":"Sebastian","non-dropping-particle":"","parse-names":false,"suffix":""},{"dropping-particle":"","family":"Benedetti","given":"Ilaria","non-dropping-particle":"","parse-names":false,"suffix":""},{"dropping-particle":"","family":"Eisenbach","given":"Lara","non-dropping-particle":"","parse-names":false,"suffix":""},{"dropping-particle":"","family":"Lorenzo","given":"Victor","non-dropping-particle":"De","parse-names":false,"suffix":""},{"dropping-particle":"","family":"Wierckx","given":"Nick","non-dropping-particle":"","parse-names":false,"suffix":""},{"dropping-particle":"","family":"Blank","given":"Lars M.","non-dropping-particle":"","parse-names":false,"suffix":""}],"container-title":"ACS Synthetic Biology","id":"ITEM-1","issue":"12","issued":{"date-parts":[["2015"]]},"page":"1341-1351","title":"Tn7-Based Device for Calibrated Heterologous Gene Expression in &lt;i&gt;Pseudomonas putida&lt;/i&gt;","type":"article-journal","volume":"4"},"uris":["http://www.mendeley.com/documents/?uuid=f96a8e6a-0ae6-442f-9896-b2c29b6a263a"]},{"id":"ITEM-2","itemData":{"DOI":"10.1038/nmeth.2404","ISSN":"15487091","abstract":"An inability to reliably predict quantitative behaviors for novel combinations of genetic elements limits the rational engineering of biological systems. We developed an expression cassette architecture for genetic elements controlling transcription and translation initiation in Escherichia coli: transcription elements encode a common mRNA start, and translation elements use an overlapping genetic motif found in many natural systems. We engineered libraries of constitutive and repressor-regulated promoters along with translation initiation elements following these definitions. We measured activity distributions for each library and selected elements that collectively resulted in expression across a 1,000-fold observed dynamic range. We studied all combinations of curated elements, demonstrating that arbitrary genes are reliably expressed to within twofold relative target expression windows with </w:instrText>
      </w:r>
      <w:r w:rsidR="006F6EB0" w:rsidRPr="002A6BF2">
        <w:rPr>
          <w:rFonts w:ascii="Cambria Math" w:hAnsi="Cambria Math" w:cs="Cambria Math"/>
          <w:lang w:val="en-US"/>
        </w:rPr>
        <w:instrText>∼</w:instrText>
      </w:r>
      <w:r w:rsidR="006F6EB0" w:rsidRPr="002A6BF2">
        <w:rPr>
          <w:lang w:val="en-US"/>
        </w:rPr>
        <w:instrText>93% reliability. We expect the genetic element definitions validated here can be collectively expanded to create collections of public-domain standard biological parts that support reliable forward engineering of gene expression at genome scales. © 2013 Nature America, Inc. All rights reserved.","author":[{"dropping-particle":"","family":"Mutalik","given":"Vivek K.","non-dropping-particle":"","parse-names":false,"suffix":""},{"dropping-particle":"","family":"Guimaraes","given":"Joao C.","non-dropping-particle":"","parse-names":false,"suffix":""},{"dropping-particle":"","family":"Cambray","given":"Guillaume","non-dropping-particle":"","parse-names":false,"suffix":""},{"dropping-particle":"","family":"Lam","given":"Colin","non-dropping-particle":"","parse-names":false,"suffix":""},{"dropping-particle":"","family":"Christoffersen","given":"Marc Juul","non-dropping-particle":"","parse-names":false,"suffix":""},{"dropping-particle":"","family":"Mai","given":"Quynh Anh","non-dropping-particle":"","parse-names":false,"suffix":""},{"dropping-particle":"","family":"Tran","given":"Andrew B.","non-dropping-particle":"","parse-names":false,"suffix":""},{"dropping-particle":"","family":"Paull","given":"Morgan","non-dropping-particle":"","parse-names":false,"suffix":""},{"dropping-particle":"","family":"Keasling","given":"Jay D.","non-dropping-particle":"","parse-names":false,"suffix":""},{"dropping-particle":"","family":"Arkin","given":"Adam P.","non-dropping-particle":"","parse-names":false,"suffix":""},{"dropping-particle":"","family":"Endy","given":"Drew","non-dropping-particle":"","parse-names":false,"suffix":""}],"container-title":"Nature Methods","id":"ITEM-2","issue":"4","issued":{"date-parts":[["2013"]]},"page":"354-360","title":"Precise and reliable gene expression via standard transcription and translation initiation elements","type":"article-journal","volume":"10"},"uris":["http://www.mendeley.com/documents/?uuid=20012325-b90e-4e82-b946-9094d5d064e6"]}],"mendeley":{"formattedCitation":"(Mutalik et al., 2013; Zobel et al., 2015)","plainTextFormattedCitation":"(Mutalik et al., 2013; Zobel et al., 2015)","previouslyFormattedCitation":"(Mutalik et al., 2013; Zobel et al., 2015)"},"properties":{"noteIndex":0},"schema":"https://github.com/citation-style-language/schema/raw/master/csl-citation.json"}</w:instrText>
      </w:r>
      <w:r w:rsidR="001B0007" w:rsidRPr="002A6BF2">
        <w:rPr>
          <w:lang w:val="en-US"/>
        </w:rPr>
        <w:fldChar w:fldCharType="separate"/>
      </w:r>
      <w:r w:rsidR="00197038" w:rsidRPr="002A6BF2">
        <w:rPr>
          <w:noProof/>
          <w:lang w:val="en-US"/>
        </w:rPr>
        <w:t>(Mutalik et al., 2013; Zobel et al., 2015)</w:t>
      </w:r>
      <w:r w:rsidR="001B0007" w:rsidRPr="002A6BF2">
        <w:rPr>
          <w:lang w:val="en-US"/>
        </w:rPr>
        <w:fldChar w:fldCharType="end"/>
      </w:r>
      <w:r w:rsidR="0072500A" w:rsidRPr="002A6BF2">
        <w:rPr>
          <w:lang w:val="en-US"/>
        </w:rPr>
        <w:t xml:space="preserve"> (</w:t>
      </w:r>
      <w:r w:rsidR="00325010" w:rsidRPr="002A6BF2">
        <w:rPr>
          <w:lang w:val="en-US"/>
        </w:rPr>
        <w:t>Fig.</w:t>
      </w:r>
      <w:r w:rsidR="00A53C58" w:rsidRPr="002A6BF2">
        <w:rPr>
          <w:lang w:val="en-US"/>
        </w:rPr>
        <w:t xml:space="preserve"> 5</w:t>
      </w:r>
      <w:r w:rsidR="0072500A" w:rsidRPr="002A6BF2">
        <w:rPr>
          <w:lang w:val="en-US"/>
        </w:rPr>
        <w:t xml:space="preserve">). Analysis of the promoter exchange variant with SAPPHIRE </w:t>
      </w:r>
      <w:r w:rsidR="0072500A" w:rsidRPr="002A6BF2">
        <w:rPr>
          <w:lang w:val="en-US"/>
        </w:rPr>
        <w:fldChar w:fldCharType="begin" w:fldLock="1"/>
      </w:r>
      <w:r w:rsidR="003A51E9" w:rsidRPr="002A6BF2">
        <w:rPr>
          <w:lang w:val="en-US"/>
        </w:rPr>
        <w:instrText>ADDIN CSL_CITATION {"citationItems":[{"id":"ITEM-1","itemData":{"DOI":"10.1186/s12859-020-03730-z","PMID":"32962628","abstract":"BACKGROUND In silico promoter prediction represents an important challenge in bioinformatics as it provides a first-line approach to identifying regulatory elements to support wet-lab experiments. Historically, available promoter prediction software have focused on sigma factor-associated promoters in the model organism E. coli. As a consequence, traditional promoter predictors yield suboptimal predictions when applied to other prokaryotic genera, such as Pseudomonas, a Gram-negative bacterium of crucial medical and biotechnological importance. RESULTS We developed SAPPHIRE, a promoter predictor for σ70 promoters in Pseudomonas. This promoter prediction relies on an artificial neural network that evaluates sequences on their similarity to the - 35 and - 10 boxes of σ70 promoters found experimentally in P. aeruginosa and P. putida. SAPPHIRE currently outperforms established predictive software when classifying Pseudomonas σ70 promoters and was built to allow further expansion in the future. CONCLUSIONS SAPPHIRE is the first predictive tool for bacterial σ70 promoters in Pseudomonas. SAPPHIRE is free, publicly available and can be accessed online at www.biosapphire.com . Alternatively, users can download the tool as a Python 3 script for local application from this site.","author":[{"dropping-particle":"","family":"Coppens","given":"Lucas","non-dropping-particle":"","parse-names":false,"suffix":""},{"dropping-particle":"","family":"Lavigne","given":"Rob","non-dropping-particle":"","parse-names":false,"suffix":""}],"container-title":"BMC bioinformatics","id":"ITEM-1","issue":"1","issued":{"date-parts":[["2020"]]},"page":"415","publisher":"BMC Bioinformatics","title":"SAPPHIRE: a neural network based classifier for σ70 promoter prediction in &lt;i&gt;Pseudomonas&lt;/i&gt;","type":"article-journal","volume":"21"},"uris":["http://www.mendeley.com/documents/?uuid=e2f417b9-70aa-4ab4-80ca-fd1c4ed4b6a6"]}],"mendeley":{"formattedCitation":"(Coppens &amp; Lavigne, 2020)","plainTextFormattedCitation":"(Coppens &amp; Lavigne, 2020)","previouslyFormattedCitation":"(Coppens &amp; Lavigne, 2020)"},"properties":{"noteIndex":0},"schema":"https://github.com/citation-style-language/schema/raw/master/csl-citation.json"}</w:instrText>
      </w:r>
      <w:r w:rsidR="0072500A" w:rsidRPr="002A6BF2">
        <w:rPr>
          <w:lang w:val="en-US"/>
        </w:rPr>
        <w:fldChar w:fldCharType="separate"/>
      </w:r>
      <w:r w:rsidR="00B255F3" w:rsidRPr="002A6BF2">
        <w:rPr>
          <w:noProof/>
          <w:lang w:val="en-US"/>
        </w:rPr>
        <w:t>(Coppens &amp; Lavigne, 2020)</w:t>
      </w:r>
      <w:r w:rsidR="0072500A" w:rsidRPr="002A6BF2">
        <w:rPr>
          <w:lang w:val="en-US"/>
        </w:rPr>
        <w:fldChar w:fldCharType="end"/>
      </w:r>
      <w:r w:rsidR="0072500A" w:rsidRPr="002A6BF2">
        <w:rPr>
          <w:lang w:val="en-US"/>
        </w:rPr>
        <w:t xml:space="preserve"> revealed a potential -35 region with appropriate distance upstream of the </w:t>
      </w:r>
      <w:r w:rsidR="0072500A" w:rsidRPr="002A6BF2">
        <w:rPr>
          <w:i/>
          <w:lang w:val="en-US"/>
        </w:rPr>
        <w:t>P</w:t>
      </w:r>
      <w:r w:rsidR="0072500A" w:rsidRPr="002A6BF2">
        <w:rPr>
          <w:i/>
          <w:vertAlign w:val="subscript"/>
          <w:lang w:val="en-US"/>
        </w:rPr>
        <w:t>14a</w:t>
      </w:r>
      <w:r w:rsidR="0072500A" w:rsidRPr="002A6BF2">
        <w:rPr>
          <w:lang w:val="en-US"/>
        </w:rPr>
        <w:t xml:space="preserve"> promoter (</w:t>
      </w:r>
      <w:r w:rsidR="00AA1C49" w:rsidRPr="002A6BF2">
        <w:rPr>
          <w:lang w:val="en-US"/>
        </w:rPr>
        <w:t xml:space="preserve">Supplementary </w:t>
      </w:r>
      <w:r w:rsidR="00325010" w:rsidRPr="002A6BF2">
        <w:rPr>
          <w:lang w:val="en-US"/>
        </w:rPr>
        <w:t>Fig.</w:t>
      </w:r>
      <w:r w:rsidR="00A4103D" w:rsidRPr="002A6BF2">
        <w:rPr>
          <w:lang w:val="en-US"/>
        </w:rPr>
        <w:t xml:space="preserve"> </w:t>
      </w:r>
      <w:r w:rsidR="00965039" w:rsidRPr="002A6BF2">
        <w:rPr>
          <w:lang w:val="en-US"/>
        </w:rPr>
        <w:t>S10</w:t>
      </w:r>
      <w:r w:rsidR="0072500A" w:rsidRPr="002A6BF2">
        <w:rPr>
          <w:lang w:val="en-US"/>
        </w:rPr>
        <w:t xml:space="preserve">). </w:t>
      </w:r>
      <w:r w:rsidR="00746EDE" w:rsidRPr="002A6BF2">
        <w:rPr>
          <w:lang w:val="en-US"/>
        </w:rPr>
        <w:t>Originally</w:t>
      </w:r>
      <w:r w:rsidR="0072500A" w:rsidRPr="002A6BF2">
        <w:rPr>
          <w:lang w:val="en-US"/>
        </w:rPr>
        <w:t xml:space="preserve"> </w:t>
      </w:r>
      <w:r w:rsidR="0072500A" w:rsidRPr="002A6BF2">
        <w:rPr>
          <w:i/>
          <w:lang w:val="en-US"/>
        </w:rPr>
        <w:t>P</w:t>
      </w:r>
      <w:r w:rsidR="0072500A" w:rsidRPr="002A6BF2">
        <w:rPr>
          <w:i/>
          <w:vertAlign w:val="subscript"/>
          <w:lang w:val="en-US"/>
        </w:rPr>
        <w:t>14a</w:t>
      </w:r>
      <w:r w:rsidR="0072500A" w:rsidRPr="002A6BF2" w:rsidDel="0000660A">
        <w:rPr>
          <w:i/>
          <w:lang w:val="en-US"/>
        </w:rPr>
        <w:t xml:space="preserve"> </w:t>
      </w:r>
      <w:r w:rsidR="0072500A" w:rsidRPr="002A6BF2">
        <w:rPr>
          <w:lang w:val="en-US"/>
        </w:rPr>
        <w:t>has a truncated spacer between its -10 and -35 region</w:t>
      </w:r>
      <w:r w:rsidRPr="002A6BF2">
        <w:rPr>
          <w:lang w:val="en-US"/>
        </w:rPr>
        <w:t xml:space="preserve"> </w:t>
      </w:r>
      <w:r w:rsidRPr="002A6BF2">
        <w:rPr>
          <w:lang w:val="en-US"/>
        </w:rPr>
        <w:fldChar w:fldCharType="begin" w:fldLock="1"/>
      </w:r>
      <w:r w:rsidR="00D40894" w:rsidRPr="002A6BF2">
        <w:rPr>
          <w:lang w:val="en-US"/>
        </w:rPr>
        <w:instrText>ADDIN CSL_CITATION {"citationItems":[{"id":"ITEM-1","itemData":{"DOI":"10.1021/acssynbio.5b00058","ISSN":"21615063","abstract":"The soil bacterium Pseudomonas putida is increasingly attracting considerable interest as a platform for advanced metabolic engineering through synthetic biology approaches. However, genomic context, gene copy number, and transcription/translation interplay often introduce considerable uncertainty to the design of reliable genetic constructs. In this work, we have established a standardized heterologous expression device in which the promoter strength is the only variable; the remaining parameters of the flow have stable default values. To this end, we tailored a mini-Tn7 delivery transposon vector that inserts the constructs in a single genomic locus of P. putidas chromosome. This was then merged with a promoter insertion site, an unvarying translational coupler, and a downstream location for placing the gene(s) of interest under fixed assembly rules. This arrangement was exploited to benchmark a collection of synthetic promoters with low transcriptional noise in this bacterial host. Growth experiments and flow cytometry with single-copy promoter-GFP constructs revealed a robust, constitutive behavior of these promoters, whose strengths and properties could be faithfully compared. This standardized expression device significantly extends the repertoire of tools available for reliable metabolic engineering and other genetic enhancements of P. putida.","author":[{"dropping-particle":"","family":"Zobel","given":"Sebastian","non-dropping-particle":"","parse-names":false,"suffix":""},{"dropping-particle":"","family":"Benedetti","given":"Ilaria","non-dropping-particle":"","parse-names":false,"suffix":""},{"dropping-particle":"","family":"Eisenbach","given":"Lara","non-dropping-particle":"","parse-names":false,"suffix":""},{"dropping-particle":"","family":"Lorenzo","given":"Victor","non-dropping-particle":"De","parse-names":false,"suffix":""},{"dropping-particle":"","family":"Wierckx","given":"Nick","non-dropping-particle":"","parse-names":false,"suffix":""},{"dropping-particle":"","family":"Blank","given":"Lars M.","non-dropping-particle":"","parse-names":false,"suffix":""}],"container-title":"ACS Synthetic Biology","id":"ITEM-1","issue":"12","issued":{"date-parts":[["2015"]]},"page":"1341-1351","title":"Tn7-Based Device for Calibrated Heterologous Gene Expression in &lt;i&gt;Pseudomonas putida&lt;/i&gt;","type":"article-journal","volume":"4"},"uris":["http://www.mendeley.com/documents/?uuid=f96a8e6a-0ae6-442f-9896-b2c29b6a263a"]}],"mendeley":{"formattedCitation":"(Zobel et al., 2015)","plainTextFormattedCitation":"(Zobel et al., 2015)","previouslyFormattedCitation":"(Zobel et al., 2015)"},"properties":{"noteIndex":0},"schema":"https://github.com/citation-style-language/schema/raw/master/csl-citation.json"}</w:instrText>
      </w:r>
      <w:r w:rsidRPr="002A6BF2">
        <w:rPr>
          <w:lang w:val="en-US"/>
        </w:rPr>
        <w:fldChar w:fldCharType="separate"/>
      </w:r>
      <w:r w:rsidR="00B255F3" w:rsidRPr="002A6BF2">
        <w:rPr>
          <w:noProof/>
          <w:lang w:val="en-US"/>
        </w:rPr>
        <w:t xml:space="preserve">(Zobel </w:t>
      </w:r>
      <w:r w:rsidR="00B255F3" w:rsidRPr="002A6BF2">
        <w:rPr>
          <w:noProof/>
          <w:lang w:val="en-US"/>
        </w:rPr>
        <w:lastRenderedPageBreak/>
        <w:t>et al., 2015)</w:t>
      </w:r>
      <w:r w:rsidRPr="002A6BF2">
        <w:rPr>
          <w:lang w:val="en-US"/>
        </w:rPr>
        <w:fldChar w:fldCharType="end"/>
      </w:r>
      <w:r w:rsidR="0072500A" w:rsidRPr="002A6BF2">
        <w:rPr>
          <w:lang w:val="en-US"/>
        </w:rPr>
        <w:t xml:space="preserve">. </w:t>
      </w:r>
      <w:r w:rsidR="002F49B7" w:rsidRPr="002A6BF2">
        <w:rPr>
          <w:lang w:val="en-US"/>
        </w:rPr>
        <w:t xml:space="preserve">Due to the potential -35 region upstream of </w:t>
      </w:r>
      <w:r w:rsidR="002F49B7" w:rsidRPr="002A6BF2">
        <w:rPr>
          <w:i/>
          <w:lang w:val="en-US"/>
        </w:rPr>
        <w:t>P</w:t>
      </w:r>
      <w:r w:rsidR="002F49B7" w:rsidRPr="002A6BF2">
        <w:rPr>
          <w:i/>
          <w:vertAlign w:val="subscript"/>
          <w:lang w:val="en-US"/>
        </w:rPr>
        <w:t>14a</w:t>
      </w:r>
      <w:r w:rsidR="002F49B7" w:rsidRPr="002A6BF2">
        <w:rPr>
          <w:lang w:val="en-US"/>
        </w:rPr>
        <w:t xml:space="preserve"> expression might be altered. Therefore, the </w:t>
      </w:r>
      <w:r w:rsidR="0072500A" w:rsidRPr="002A6BF2">
        <w:rPr>
          <w:lang w:val="en-US"/>
        </w:rPr>
        <w:t xml:space="preserve">inserted promoter </w:t>
      </w:r>
      <w:r w:rsidR="002F49B7" w:rsidRPr="002A6BF2">
        <w:rPr>
          <w:lang w:val="en-US"/>
        </w:rPr>
        <w:t xml:space="preserve">fused to the potential -35 box is referred to as </w:t>
      </w:r>
      <w:r w:rsidR="0072500A" w:rsidRPr="002A6BF2">
        <w:rPr>
          <w:i/>
          <w:lang w:val="en-US"/>
        </w:rPr>
        <w:t>P</w:t>
      </w:r>
      <w:r w:rsidR="0072500A" w:rsidRPr="002A6BF2">
        <w:rPr>
          <w:i/>
          <w:vertAlign w:val="subscript"/>
          <w:lang w:val="en-US"/>
        </w:rPr>
        <w:t>14a</w:t>
      </w:r>
      <w:r w:rsidR="0072500A" w:rsidRPr="002A6BF2">
        <w:rPr>
          <w:lang w:val="en-US"/>
        </w:rPr>
        <w:t>*</w:t>
      </w:r>
      <w:r w:rsidR="00CC5896" w:rsidRPr="002A6BF2">
        <w:rPr>
          <w:lang w:val="en-US"/>
        </w:rPr>
        <w:t xml:space="preserve"> (</w:t>
      </w:r>
      <w:r w:rsidR="00214986" w:rsidRPr="002A6BF2">
        <w:rPr>
          <w:lang w:val="en-US"/>
        </w:rPr>
        <w:t>S</w:t>
      </w:r>
      <w:r w:rsidR="00CC5896" w:rsidRPr="002A6BF2">
        <w:rPr>
          <w:lang w:val="en-US"/>
        </w:rPr>
        <w:t>upplement</w:t>
      </w:r>
      <w:r w:rsidR="00214986" w:rsidRPr="002A6BF2">
        <w:rPr>
          <w:lang w:val="en-US"/>
        </w:rPr>
        <w:t>ary</w:t>
      </w:r>
      <w:r w:rsidR="00CC5896" w:rsidRPr="002A6BF2">
        <w:rPr>
          <w:lang w:val="en-US"/>
        </w:rPr>
        <w:t xml:space="preserve"> </w:t>
      </w:r>
      <w:r w:rsidR="00325010" w:rsidRPr="002A6BF2">
        <w:rPr>
          <w:lang w:val="en-US"/>
        </w:rPr>
        <w:t>Fig.</w:t>
      </w:r>
      <w:r w:rsidR="00A4103D" w:rsidRPr="002A6BF2">
        <w:rPr>
          <w:lang w:val="en-US"/>
        </w:rPr>
        <w:t xml:space="preserve"> </w:t>
      </w:r>
      <w:r w:rsidR="00965039" w:rsidRPr="002A6BF2">
        <w:rPr>
          <w:lang w:val="en-US"/>
        </w:rPr>
        <w:t>S10</w:t>
      </w:r>
      <w:r w:rsidR="00CC5896" w:rsidRPr="002A6BF2">
        <w:rPr>
          <w:lang w:val="en-US"/>
        </w:rPr>
        <w:t>)</w:t>
      </w:r>
      <w:r w:rsidR="00F873A3" w:rsidRPr="002A6BF2">
        <w:rPr>
          <w:lang w:val="en-US"/>
        </w:rPr>
        <w:t>.</w:t>
      </w:r>
      <w:r w:rsidR="0072500A" w:rsidRPr="002A6BF2">
        <w:rPr>
          <w:lang w:val="en-US"/>
        </w:rPr>
        <w:t xml:space="preserve"> </w:t>
      </w:r>
    </w:p>
    <w:p w14:paraId="4F022562" w14:textId="7677F667" w:rsidR="00C5194E" w:rsidRPr="002A6BF2" w:rsidRDefault="00422248" w:rsidP="00B84A00">
      <w:pPr>
        <w:spacing w:line="276" w:lineRule="auto"/>
        <w:jc w:val="both"/>
        <w:rPr>
          <w:lang w:val="en-US"/>
        </w:rPr>
      </w:pPr>
      <w:r w:rsidRPr="002A6BF2">
        <w:rPr>
          <w:lang w:val="en-US"/>
        </w:rPr>
        <w:t xml:space="preserve">Besides this transcriptional modulation by promoter exchange, an enzymatic modulation was achieved by replacing </w:t>
      </w:r>
      <w:r w:rsidRPr="002A6BF2">
        <w:rPr>
          <w:i/>
          <w:lang w:val="en-US"/>
        </w:rPr>
        <w:t>gltA</w:t>
      </w:r>
      <w:r w:rsidRPr="002A6BF2">
        <w:rPr>
          <w:lang w:val="en-US"/>
        </w:rPr>
        <w:t xml:space="preserve"> (PVLB_16320) with </w:t>
      </w:r>
      <w:r w:rsidR="0072500A" w:rsidRPr="002A6BF2">
        <w:rPr>
          <w:i/>
          <w:lang w:val="en-US"/>
        </w:rPr>
        <w:t>prpC</w:t>
      </w:r>
      <w:r w:rsidR="0072500A" w:rsidRPr="002A6BF2">
        <w:rPr>
          <w:lang w:val="en-US"/>
        </w:rPr>
        <w:t xml:space="preserve"> (PVLB_08385)</w:t>
      </w:r>
      <w:r w:rsidRPr="002A6BF2">
        <w:rPr>
          <w:lang w:val="en-US"/>
        </w:rPr>
        <w:t>,</w:t>
      </w:r>
      <w:r w:rsidR="0072500A" w:rsidRPr="002A6BF2">
        <w:rPr>
          <w:lang w:val="en-US"/>
        </w:rPr>
        <w:t xml:space="preserve"> in the native locus of </w:t>
      </w:r>
      <w:r w:rsidR="0072500A" w:rsidRPr="002A6BF2">
        <w:rPr>
          <w:i/>
          <w:lang w:val="en-US"/>
        </w:rPr>
        <w:t>gltA</w:t>
      </w:r>
      <w:r w:rsidR="0072500A" w:rsidRPr="002A6BF2">
        <w:rPr>
          <w:lang w:val="en-US"/>
        </w:rPr>
        <w:t xml:space="preserve">. PrpC is a methylcitrate synthase </w:t>
      </w:r>
      <w:r w:rsidR="005E1860" w:rsidRPr="002A6BF2">
        <w:rPr>
          <w:lang w:val="en-US"/>
        </w:rPr>
        <w:t xml:space="preserve">used </w:t>
      </w:r>
      <w:r w:rsidR="0072500A" w:rsidRPr="002A6BF2">
        <w:rPr>
          <w:lang w:val="en-US"/>
        </w:rPr>
        <w:t>in propionate metabolism</w:t>
      </w:r>
      <w:r w:rsidRPr="002A6BF2">
        <w:rPr>
          <w:lang w:val="en-US"/>
        </w:rPr>
        <w:t xml:space="preserve"> </w:t>
      </w:r>
      <w:r w:rsidR="00C30792" w:rsidRPr="002A6BF2">
        <w:rPr>
          <w:lang w:val="en-US"/>
        </w:rPr>
        <w:fldChar w:fldCharType="begin" w:fldLock="1"/>
      </w:r>
      <w:r w:rsidR="00F27629" w:rsidRPr="002A6BF2">
        <w:rPr>
          <w:lang w:val="en-US"/>
        </w:rPr>
        <w:instrText>ADDIN CSL_CITATION {"citationItems":[{"id":"ITEM-1","itemData":{"DOI":"10.1016/j.ymben.2006.05.007","ISSN":"10967176","PMID":"16876450","abstract":"In this study strains of Ralstonia eutropha H16 and Pseudomonas putida KT2440 were engineered which are suitable for biotechnological production of 2-methylcitric acid (2MC). Analysis of a previous mutant of R. eutropha able to accumulate 2MC recommended this strain as a candidate for fermentative production of 2MC. This knowledge was used for construction of strains of R. eutropha H16 and P. putida KT2440 capable of enhanced production of 2MC. In both bacteria the chromosomal genes encoding the 2-methyl-cis-aconitate hydratase (acnM) were disrupted by directed insertion of a copy of an additional 2-methylcitrate synthase gene (prpC) yielding strains R. eutropha ΔacnMReΩKmprpCPp and P. putida ΔacnMPpΩKmprpCRe. In both strains 2-methylcitrate synthase was expressed under control of the constitutive kanamycin-resistance gene (ΩKm) resulting in up to 20-fold higher specific 2-methylcitrate synthase activities in comparison to the wild type. The disruption of the acnM gene by insertion of prpC led to a propionate- and levulinate-negative phenotype of the engineered strains, and analysis of supernatant of these strains revealed overproduction and accumulation of 2MC in the medium. A two stage cultivation regime comprising an exponential growth phase and a 2MC production phase was developed and applied to both engineered strains for optimum production of 2MC. Whereas gluconate, fructose or succinate were provided as carbon source for the exponential growth phase, a combination of propionate or levulinate as precursor substrate for provision of propionyl-CoA and succinate or fumarate as precursor substrate for provision of oxaloacetate were used in the production phase to make sure that the 2-methylcitrate synthase was provided with their substrates. Employing the optimised feeding regime P. putida ΔacnMPpΩKmprpCRe and R. eutropha ΔacnMReΩKmprpCPp produced 2MC up to maximal concentrations of 7.2 g/L or 26.5 mM and 19.2 g/L or 70.5 mM, respectively, during 144 h of cultivation. © 2006 Elsevier Inc. All rights reserved.","author":[{"dropping-particle":"","family":"Ewering","given":"Christian","non-dropping-particle":"","parse-names":false,"suffix":""},{"dropping-particle":"","family":"Heuser","given":"Florian","non-dropping-particle":"","parse-names":false,"suffix":""},{"dropping-particle":"","family":"Benölken","given":"Jens Klaus","non-dropping-particle":"","parse-names":false,"suffix":""},{"dropping-particle":"","family":"Brämer","given":"Christian O.","non-dropping-particle":"","parse-names":false,"suffix":""},{"dropping-particle":"","family":"Steinbüchel","given":"Alexander","non-dropping-particle":"","parse-names":false,"suffix":""}],"container-title":"Metabolic Engineering","id":"ITEM-1","issue":"6","issued":{"date-parts":[["2006"]]},"page":"587-602","title":"Metabolic engineering of strains of &lt;i&gt;Ralstonia eutropha&lt;/i&gt; and &lt;i&gt;Pseudomonas putida&lt;/i&gt; for biotechnological production of 2-methylcitric acid","type":"article-journal","volume":"8"},"uris":["http://www.mendeley.com/documents/?uuid=16a7d3f9-4427-40fc-a023-cc09791a9ac9"]},{"id":"ITEM-2","itemData":{"DOI":"https://doi.org/10.1128/mbio.02541-22","abstract":"The human pathogen Pseudomonas aeruginosa (Pa) is one of the most frequent and severe causes of nosocomial infection. This organism is also a major cause of airway infections in people with cystic fibrosis (CF). Pa is known to have a remarkable metabolic plasticity, allowing it to thrive in diverse environmental conditions and ecological niches, yet little is known about the central metabolic pathways which sustain its growth during infection, or precisely how these pathways operate. In this work, we used a combination of ‘omics approaches (transcriptomics, proteomics, metabolomics and 13C-fluxomics) and reverse genetics to provide a systems-level insight into how the infection-relevant organic acids, succinate and propionate, are metabolized by Pa. Moreover, through structural and kinetic analysis of the 2-methylcitrate synthase (PrpC) and its paralogue, citrate synthase (GltA), we show how these two crucial enzymatic steps are interconnected in Pa organic acid assimilation. We found that Pa can rapidly adapt to the loss of GltA function by acquiring mutations in a transcriptional repressor, which then de-represses prpC expression. Our findings provide a clear example of how ‘underground metabolism’, facilitated by enzyme substrate promiscuity, “rewires” Pa metabolism, allowing it to overcome the loss of a crucial enzyme. This pathogen-specific knowledge is critical for the advancement of a model-driven framework to target bacterial central metabolism. ### Competing Interest Statement The authors have declared no competing interest.","author":[{"dropping-particle":"","family":"Dolan","given":"Stephen K.","non-dropping-particle":"","parse-names":false,"suffix":""},{"dropping-particle":"","family":"Wijaya","given":"Andre","non-dropping-particle":"","parse-names":false,"suffix":""},{"dropping-particle":"","family":"Kohlstedt","given":"Michael","non-dropping-particle":"","parse-names":false,"suffix":""},{"dropping-particle":"","family":"Gläser","given":"Lars","non-dropping-particle":"","parse-names":false,"suffix":""},{"dropping-particle":"","family":"Brear","given":"Paul","non-dropping-particle":"","parse-names":false,"suffix":""},{"dropping-particle":"","family":"Silva-Rocha","given":"Rafael","non-dropping-particle":"","parse-names":false,"suffix":""},{"dropping-particle":"","family":"Wittmann","given":"Christoph","non-dropping-particle":"","parse-names":false,"suffix":""},{"dropping-particle":"","family":"Welch","given":"Martin","non-dropping-particle":"","parse-names":false,"suffix":""}],"container-title":"mBio","id":"ITEM-2","issue":"6","issued":{"date-parts":[["2022"]]},"note":"PrpC has activity for propionyl-CoA and acetyl-CoA, GltA has only acetyl-CoA activity. GltA has no PrpC activity.\n\nKinetics: PrpC has comparable activity for prop-CoA and AcCoA in contrast to previously published PrpC characterizations of other hosts.\n\nGltA is likely NADH regulated. PrpC not.","publisher":"American Society for Microbiology","title":"Systems-wide dissection of organic acid assimilation in &lt;i&gt;Pseudomonas aeruginosa&lt;/i&gt; reveals a novel path to underground metabolism","type":"article-journal","volume":"13"},"uris":["http://www.mendeley.com/documents/?uuid=428d665d-17f6-41d2-a3f1-c92bbeb4a455"]}],"mendeley":{"formattedCitation":"(Dolan et al., 2022; Ewering et al., 2006)","plainTextFormattedCitation":"(Dolan et al., 2022; Ewering et al., 2006)","previouslyFormattedCitation":"(Dolan et al., 2022; Ewering et al., 2006)"},"properties":{"noteIndex":0},"schema":"https://github.com/citation-style-language/schema/raw/master/csl-citation.json"}</w:instrText>
      </w:r>
      <w:r w:rsidR="00C30792" w:rsidRPr="002A6BF2">
        <w:rPr>
          <w:lang w:val="en-US"/>
        </w:rPr>
        <w:fldChar w:fldCharType="separate"/>
      </w:r>
      <w:r w:rsidR="00BA165E" w:rsidRPr="002A6BF2">
        <w:rPr>
          <w:noProof/>
          <w:lang w:val="en-US"/>
        </w:rPr>
        <w:t>(Dolan et al., 2022; Ewering et al., 2006)</w:t>
      </w:r>
      <w:r w:rsidR="00C30792" w:rsidRPr="002A6BF2">
        <w:rPr>
          <w:lang w:val="en-US"/>
        </w:rPr>
        <w:fldChar w:fldCharType="end"/>
      </w:r>
      <w:r w:rsidR="0072500A" w:rsidRPr="002A6BF2">
        <w:rPr>
          <w:lang w:val="en-US"/>
        </w:rPr>
        <w:t xml:space="preserve">. </w:t>
      </w:r>
      <w:r w:rsidR="00C30792" w:rsidRPr="002A6BF2">
        <w:rPr>
          <w:lang w:val="en-US"/>
        </w:rPr>
        <w:t xml:space="preserve">The putative PrpC of </w:t>
      </w:r>
      <w:r w:rsidR="00C30792" w:rsidRPr="002A6BF2">
        <w:rPr>
          <w:i/>
          <w:iCs/>
          <w:lang w:val="en-US"/>
        </w:rPr>
        <w:t xml:space="preserve">P. taiwanensis </w:t>
      </w:r>
      <w:r w:rsidR="00C30792" w:rsidRPr="002A6BF2">
        <w:rPr>
          <w:lang w:val="en-US"/>
        </w:rPr>
        <w:t xml:space="preserve">VLB120 is uncharacterized, but for PrpC from </w:t>
      </w:r>
      <w:r w:rsidR="00C30792" w:rsidRPr="002A6BF2">
        <w:rPr>
          <w:i/>
          <w:lang w:val="en-US"/>
        </w:rPr>
        <w:t>P.</w:t>
      </w:r>
      <w:r w:rsidR="00C30792" w:rsidRPr="002A6BF2">
        <w:rPr>
          <w:lang w:val="en-US"/>
        </w:rPr>
        <w:t> </w:t>
      </w:r>
      <w:r w:rsidR="00C30792" w:rsidRPr="002A6BF2">
        <w:rPr>
          <w:i/>
          <w:lang w:val="en-US"/>
        </w:rPr>
        <w:t>aeruginosa</w:t>
      </w:r>
      <w:r w:rsidR="00C30792" w:rsidRPr="002A6BF2">
        <w:rPr>
          <w:lang w:val="en-US"/>
        </w:rPr>
        <w:t xml:space="preserve"> (87.5%</w:t>
      </w:r>
      <w:r w:rsidR="00747B9E" w:rsidRPr="002A6BF2">
        <w:rPr>
          <w:lang w:val="en-US"/>
        </w:rPr>
        <w:t xml:space="preserve"> </w:t>
      </w:r>
      <w:r w:rsidR="00C30792" w:rsidRPr="002A6BF2">
        <w:rPr>
          <w:lang w:val="en-US"/>
        </w:rPr>
        <w:t>aa identity) there are indications that it ha</w:t>
      </w:r>
      <w:r w:rsidR="00317FDE" w:rsidRPr="002A6BF2">
        <w:rPr>
          <w:lang w:val="en-US"/>
        </w:rPr>
        <w:t>s</w:t>
      </w:r>
      <w:r w:rsidR="00C30792" w:rsidRPr="002A6BF2">
        <w:rPr>
          <w:lang w:val="en-US"/>
        </w:rPr>
        <w:t xml:space="preserve"> a citrate synthase side activity </w:t>
      </w:r>
      <w:r w:rsidR="00C30792" w:rsidRPr="002A6BF2">
        <w:rPr>
          <w:lang w:val="en-US"/>
        </w:rPr>
        <w:fldChar w:fldCharType="begin" w:fldLock="1"/>
      </w:r>
      <w:r w:rsidR="00857265">
        <w:rPr>
          <w:lang w:val="en-US"/>
        </w:rPr>
        <w:instrText>ADDIN CSL_CITATION {"citationItems":[{"id":"ITEM-1","itemData":{"DOI":"10.1007/BF01567308","ISSN":"03438651","abstract":"Assaying for enzymes of propionyl-CoA catabolism in crude extracts of Pseudomonas aeruginosa was complicated by the presence of a short-chain acyl-CoA hydrolase. Interference by the hydrolase was avoided by using permeabilized whole cells. Cells treated this way exhibited low or undetectable levels of propionyl-CoA carboxylase, propionyl-CoA dehydrogenase, and α-hydroxyglutarate synthase, enzymes initiating propionyl-CoA catabolism in many prokaryotes, but did contain high levels of methylcitrate synthase, an enzyme of the methylcitrate cycle for propionyl-CoA catabolism. Gel filtration experiments revealed a peak of methylcitrate synthase distinct from the citrate synthase of the bacterium. The enzyme was induced by growth on propionate and on propanol and heptanoate, precursors of propionate. These results suggest that P. aeruginosa may utilize the methylcitrate cycle to metabolize propionate, a pathway heretofore only described in the yeast Candida lipolytica. © 1983 Springer-Verlag New York Inc.","author":[{"dropping-particle":"","family":"Watson","given":"David","non-dropping-particle":"","parse-names":false,"suffix":""},{"dropping-particle":"","family":"Lindel","given":"Deborah L.","non-dropping-particle":"","parse-names":false,"suffix":""},{"dropping-particle":"","family":"Fall","given":"Ray","non-dropping-particle":"","parse-names":false,"suffix":""}],"container-title":"Current Microbiology","id":"ITEM-1","issue":"1","issued":{"date-parts":[["1983"]]},"page":"17-21","title":"&lt;i&gt;Pseudomonas aeruginosa&lt;/i&gt; contains an inducible methylcitrate synthase","type":"article-journal","volume":"8"},"uris":["http://www.mendeley.com/documents/?uuid=bf1c0ef1-a644-4dc6-8849-28c31a7b6967"]},{"id":"ITEM-2","itemData":{"DOI":"10.1042/bj3090507","ISSN":"02646021","abstract":"Two types of citrate synthase (CS) have been purified from Pseudomonas aeruginosa, a 'large' form (CSI) and a 'small' form (CSII). The M(r)s of the CSI and CSII isoenzymes were determined to be 240000 ± 16000 (mean ± S.E.M.) and 80300 ± 3800 respectively. Chemical cross-linking of the native enzymes with either dimethyl suberimidate or glutaraldehyde followed by electrophoretic analysis by SDS/PAGE showed that CSI is a hexamer and CSII is a dimer. SDS/PAGE showed that CSI and CSII each consist of a singly subunit type, of M(r) 42000 ± 2000 and M(r) 36500 ± 2000 respectively. CSI and CSII were also shown to be distinct kinetically, immunologically and in terms of their regulatory properties. It is suggested that the CS isoenzymes are products of different structural genes.","author":[{"dropping-particle":"","family":"Mitchell","given":"C. G.","non-dropping-particle":"","parse-names":false,"suffix":""},{"dropping-particle":"","family":"Anderson","given":"S. C.K.","non-dropping-particle":"","parse-names":false,"suffix":""},{"dropping-particle":"","family":"El-Mansi","given":"E. M.T.","non-dropping-particle":"","parse-names":false,"suffix":""}],"container-title":"Biochemical Journal","id":"ITEM-2","issue":"2","issued":{"date-parts":[["1995"]]},"page":"507-511","title":"Purification and characterization of citrate synthase isoenzymes from &lt;i&gt;Pseudomonas aeruginosa&lt;/i&gt;","type":"article-journal","volume":"309"},"uris":["http://www.mendeley.com/documents/?uuid=4131fda9-71ac-455b-b6e8-28ffec8f55c9"]},{"id":"ITEM-3","itemData":{"DOI":"https://doi.org/10.1128/mbio.02541-22","abstract":"The human pathogen Pseudomonas aeruginosa (Pa) is one of the most frequent and severe causes of nosocomial infection. This organism is also a major cause of airway infections in people with cystic fibrosis (CF). Pa is known to have a remarkable metabolic plasticity, allowing it to thrive in diverse environmental conditions and ecological niches, yet little is known about the central metabolic pathways which sustain its growth during infection, or precisely how these pathways operate. In this work, we used a combination of ‘omics approaches (transcriptomics, proteomics, metabolomics and 13C-fluxomics) and reverse genetics to provide a systems-level insight into how the infection-relevant organic acids, succinate and propionate, are metabolized by Pa. Moreover, through structural and kinetic analysis of the 2-methylcitrate synthase (PrpC) and its paralogue, citrate synthase (GltA), we show how these two crucial enzymatic steps are interconnected in Pa organic acid assimilation. We found that Pa can rapidly adapt to the loss of GltA function by acquiring mutations in a transcriptional repressor, which then de-represses prpC expression. Our findings provide a clear example of how ‘underground metabolism’, facilitated by enzyme substrate promiscuity, “rewires” Pa metabolism, allowing it to overcome the loss of a crucial enzyme. This pathogen-specific knowledge is critical for the advancement of a model-driven framework to target bacterial central metabolism. ### Competing Interest Statement The authors have declared no competing interest.","author":[{"dropping-particle":"","family":"Dolan","given":"Stephen K.","non-dropping-particle":"","parse-names":false,"suffix":""},{"dropping-particle":"","family":"Wijaya","given":"Andre","non-dropping-particle":"","parse-names":false,"suffix":""},{"dropping-particle":"","family":"Kohlstedt","given":"Michael","non-dropping-particle":"","parse-names":false,"suffix":""},{"dropping-particle":"","family":"Gläser","given":"Lars","non-dropping-particle":"","parse-names":false,"suffix":""},{"dropping-particle":"","family":"Brear","given":"Paul","non-dropping-particle":"","parse-names":false,"suffix":""},{"dropping-particle":"","family":"Silva-Rocha","given":"Rafael","non-dropping-particle":"","parse-names":false,"suffix":""},{"dropping-particle":"","family":"Wittmann","given":"Christoph","non-dropping-particle":"","parse-names":false,"suffix":""},{"dropping-particle":"","family":"Welch","given":"Martin","non-dropping-particle":"","parse-names":false,"suffix":""}],"container-title":"mBio","id":"ITEM-3","issue":"6","issued":{"date-parts":[["2022"]]},"note":"PrpC has activity for propionyl-CoA and acetyl-CoA, GltA has only acetyl-CoA activity. GltA has no PrpC activity.\n\nKinetics: PrpC has comparable activity for prop-CoA and AcCoA in contrast to previously published PrpC characterizations of other hosts.\n\nGltA is likely NADH regulated. PrpC not.","publisher":"American Society for Microbiology","title":"Systems-wide dissection of organic acid assimilation in &lt;i&gt;Pseudomonas aeruginosa&lt;/i&gt; reveals a novel path to underground metabolism","type":"article-journal","volume":"13"},"uris":["http://www.mendeley.com/documents/?uuid=428d665d-17f6-41d2-a3f1-c92bbeb4a455"]}],"mendeley":{"formattedCitation":"(Dolan et al., 2022; Mitchell et al., 1995; Watson et al., 1983)","plainTextFormattedCitation":"(Dolan et al., 2022; Mitchell et al., 1995; Watson et al., 1983)","previouslyFormattedCitation":"(Dolan et al., 2022; Mitchell et al., 1995; Watson et al., 1983)"},"properties":{"noteIndex":0},"schema":"https://github.com/citation-style-language/schema/raw/master/csl-citation.json"}</w:instrText>
      </w:r>
      <w:r w:rsidR="00C30792" w:rsidRPr="002A6BF2">
        <w:rPr>
          <w:lang w:val="en-US"/>
        </w:rPr>
        <w:fldChar w:fldCharType="separate"/>
      </w:r>
      <w:r w:rsidR="00857265" w:rsidRPr="00857265">
        <w:rPr>
          <w:noProof/>
          <w:lang w:val="en-US"/>
        </w:rPr>
        <w:t>(Dolan et al., 2022; Mitchell et al., 1995; Watson et al., 1983)</w:t>
      </w:r>
      <w:r w:rsidR="00C30792" w:rsidRPr="002A6BF2">
        <w:rPr>
          <w:lang w:val="en-US"/>
        </w:rPr>
        <w:fldChar w:fldCharType="end"/>
      </w:r>
      <w:r w:rsidR="00C30792" w:rsidRPr="002A6BF2">
        <w:rPr>
          <w:lang w:val="en-US"/>
        </w:rPr>
        <w:t>. This has also been shown for other methylcitrate synthases, which have a side activity</w:t>
      </w:r>
      <w:r w:rsidR="003F2240" w:rsidRPr="002A6BF2">
        <w:rPr>
          <w:lang w:val="en-US"/>
        </w:rPr>
        <w:t xml:space="preserve"> for acetyl-CoA with higher Km </w:t>
      </w:r>
      <w:r w:rsidR="003F2240" w:rsidRPr="002A6BF2">
        <w:rPr>
          <w:lang w:val="en-US"/>
        </w:rPr>
        <w:fldChar w:fldCharType="begin" w:fldLock="1"/>
      </w:r>
      <w:r w:rsidR="00D40894" w:rsidRPr="002A6BF2">
        <w:rPr>
          <w:lang w:val="en-US"/>
        </w:rPr>
        <w:instrText>ADDIN CSL_CITATION {"citationItems":[{"id":"ITEM-1","itemData":{"DOI":"10.1016/j.jsb.2010.10.008","ISSN":"10478477","abstract":"2-Methylcitric acid (2-MCA) cycle is one of the well studied pathways for the utilization of propionate as a source of carbon and energy in bacteria such as Salmonella typhimurium and Escherichia coli. 2-Methylcitrate synthase (2-MCS) catalyzes the conversion of oxaloacetate and propionyl-CoA to 2-methylcitrate and CoA in the second step of 2-MCA cycle. Here, we report the X-ray crystal structure of S. typhimurium 2-MCS (StPrpC) at 2.4. Å resolution and its functional characterization. StPrpC was found to utilize propionyl-CoA more efficiently than acetyl-CoA or butyryl-CoA. The polypeptide fold and the catalytic residues of StPrpC are conserved in citrate synthases (CSs) suggesting similarities in their functional mechanisms. In the triclinic P1 cell, StPrpC molecules were organized as decamers composed of five identical dimer units. In solution, StPrpC was in a dimeric form at low concentrations and was converted to larger oligomers at higher concentrations. CSs are usually dimeric proteins. In Gram-negative bacteria, a hexameric form, believed to be important for regulation of activity by NADH, is also observed. Structural comparisons with hexameric E. coli CS suggested that the key residues involved in NADH binding are not conserved in StPrpC. Structural comparison with the ligand free and bound states of CSs showed that StPrpC is in a nearly closed conformation despite the absence of bound ligands. It was found that the Tyr197 and Leu324 of StPrpC are structurally equivalent to the ligand binding residues His and Val, respectively, of CSs. These substitutions might determine the specificities for acyl-CoAs of these enzymes. © 2010 Elsevier Inc.","author":[{"dropping-particle":"","family":"Chittori","given":"Sagar","non-dropping-particle":"","parse-names":false,"suffix":""},{"dropping-particle":"","family":"Savithri","given":"H. S.","non-dropping-particle":"","parse-names":false,"suffix":""},{"dropping-particle":"","family":"Murthy","given":"M. R.N.","non-dropping-particle":"","parse-names":false,"suffix":""}],"container-title":"Journal of Structural Biology","id":"ITEM-1","issue":"1","issued":{"date-parts":[["2011"]]},"page":"58-68","publisher":"Elsevier Inc.","title":"Crystal structure of &lt;i&gt;Salmonella typhimurium&lt;/i&gt; 2-methylcitrate synthase: Insights on domain movement and substrate specificity","type":"article-journal","volume":"174"},"uris":["http://www.mendeley.com/documents/?uuid=dec80922-21e5-4e0e-9488-8cdaf4e17f89"]}],"mendeley":{"formattedCitation":"(Chittori et al., 2011)","plainTextFormattedCitation":"(Chittori et al., 2011)","previouslyFormattedCitation":"(Chittori et al., 2011)"},"properties":{"noteIndex":0},"schema":"https://github.com/citation-style-language/schema/raw/master/csl-citation.json"}</w:instrText>
      </w:r>
      <w:r w:rsidR="003F2240" w:rsidRPr="002A6BF2">
        <w:rPr>
          <w:lang w:val="en-US"/>
        </w:rPr>
        <w:fldChar w:fldCharType="separate"/>
      </w:r>
      <w:r w:rsidR="00B255F3" w:rsidRPr="002A6BF2">
        <w:rPr>
          <w:noProof/>
          <w:lang w:val="en-US"/>
        </w:rPr>
        <w:t>(Chittori et al., 2011)</w:t>
      </w:r>
      <w:r w:rsidR="003F2240" w:rsidRPr="002A6BF2">
        <w:rPr>
          <w:lang w:val="en-US"/>
        </w:rPr>
        <w:fldChar w:fldCharType="end"/>
      </w:r>
      <w:r w:rsidR="00C30792" w:rsidRPr="002A6BF2">
        <w:rPr>
          <w:lang w:val="en-US"/>
        </w:rPr>
        <w:t xml:space="preserve">. Thus, a replacement of </w:t>
      </w:r>
      <w:r w:rsidR="00C30792" w:rsidRPr="002A6BF2">
        <w:rPr>
          <w:i/>
          <w:iCs/>
          <w:lang w:val="en-US"/>
        </w:rPr>
        <w:t>gltA</w:t>
      </w:r>
      <w:r w:rsidR="00C30792" w:rsidRPr="002A6BF2">
        <w:rPr>
          <w:lang w:val="en-US"/>
        </w:rPr>
        <w:t xml:space="preserve"> with the PrpC-encoding gene likely reduces citrate synthase activity. To achieve this, </w:t>
      </w:r>
      <w:r w:rsidR="00C30792" w:rsidRPr="002A6BF2">
        <w:rPr>
          <w:i/>
          <w:lang w:val="en-US"/>
        </w:rPr>
        <w:t>prpC</w:t>
      </w:r>
      <w:r w:rsidR="00C30792" w:rsidRPr="002A6BF2">
        <w:rPr>
          <w:lang w:val="en-US"/>
        </w:rPr>
        <w:t xml:space="preserve"> </w:t>
      </w:r>
      <w:r w:rsidR="00747B9E" w:rsidRPr="002A6BF2">
        <w:rPr>
          <w:lang w:val="en-US"/>
        </w:rPr>
        <w:t>was</w:t>
      </w:r>
      <w:r w:rsidR="00C30792" w:rsidRPr="002A6BF2">
        <w:rPr>
          <w:lang w:val="en-US"/>
        </w:rPr>
        <w:t xml:space="preserve"> first deleted, followed by replacement of </w:t>
      </w:r>
      <w:r w:rsidR="00C30792" w:rsidRPr="002A6BF2">
        <w:rPr>
          <w:i/>
          <w:iCs/>
          <w:lang w:val="en-US"/>
        </w:rPr>
        <w:t>gltA</w:t>
      </w:r>
      <w:r w:rsidR="00C30792" w:rsidRPr="002A6BF2">
        <w:rPr>
          <w:lang w:val="en-US"/>
        </w:rPr>
        <w:t xml:space="preserve"> by </w:t>
      </w:r>
      <w:r w:rsidR="00C30792" w:rsidRPr="002A6BF2">
        <w:rPr>
          <w:i/>
          <w:lang w:val="en-US"/>
        </w:rPr>
        <w:t>prpC</w:t>
      </w:r>
      <w:r w:rsidR="00C30792" w:rsidRPr="002A6BF2">
        <w:rPr>
          <w:lang w:val="en-US"/>
        </w:rPr>
        <w:t xml:space="preserve"> through homologous recombination, leaving the first 99 bp of </w:t>
      </w:r>
      <w:r w:rsidR="00C30792" w:rsidRPr="002A6BF2">
        <w:rPr>
          <w:i/>
          <w:lang w:val="en-US"/>
        </w:rPr>
        <w:t>gltA</w:t>
      </w:r>
      <w:r w:rsidR="00C30792" w:rsidRPr="002A6BF2">
        <w:rPr>
          <w:lang w:val="en-US"/>
        </w:rPr>
        <w:t xml:space="preserve"> intact followed by a stop codon and 24 bp upstream sequence of the native </w:t>
      </w:r>
      <w:r w:rsidR="00C30792" w:rsidRPr="002A6BF2">
        <w:rPr>
          <w:i/>
          <w:lang w:val="en-US"/>
        </w:rPr>
        <w:t>prpC</w:t>
      </w:r>
      <w:r w:rsidR="00C30792" w:rsidRPr="002A6BF2">
        <w:rPr>
          <w:lang w:val="en-US"/>
        </w:rPr>
        <w:t xml:space="preserve"> to avoid major changes in regulation and ribosome binding. This gene replacement strategy ensures expression of </w:t>
      </w:r>
      <w:r w:rsidR="00C30792" w:rsidRPr="002A6BF2">
        <w:rPr>
          <w:i/>
          <w:iCs/>
          <w:lang w:val="en-US"/>
        </w:rPr>
        <w:t xml:space="preserve">prpC </w:t>
      </w:r>
      <w:r w:rsidR="00C30792" w:rsidRPr="002A6BF2">
        <w:rPr>
          <w:lang w:val="en-US"/>
        </w:rPr>
        <w:t>in the absence of</w:t>
      </w:r>
      <w:r w:rsidR="00CB2D73" w:rsidRPr="002A6BF2">
        <w:rPr>
          <w:lang w:val="en-US"/>
        </w:rPr>
        <w:t xml:space="preserve"> its native inducer propionate </w:t>
      </w:r>
      <w:r w:rsidR="00CB2D73" w:rsidRPr="002A6BF2">
        <w:rPr>
          <w:lang w:val="en-US"/>
        </w:rPr>
        <w:fldChar w:fldCharType="begin" w:fldLock="1"/>
      </w:r>
      <w:r w:rsidR="00F27629" w:rsidRPr="002A6BF2">
        <w:rPr>
          <w:lang w:val="en-US"/>
        </w:rPr>
        <w:instrText>ADDIN CSL_CITATION {"citationItems":[{"id":"ITEM-1","itemData":{"DOI":"10.1007/BF01567308","ISSN":"03438651","abstract":"Assaying for enzymes of propionyl-CoA catabolism in crude extracts of Pseudomonas aeruginosa was complicated by the presence of a short-chain acyl-CoA hydrolase. Interference by the hydrolase was avoided by using permeabilized whole cells. Cells treated this way exhibited low or undetectable levels of propionyl-CoA carboxylase, propionyl-CoA dehydrogenase, and α-hydroxyglutarate synthase, enzymes initiating propionyl-CoA catabolism in many prokaryotes, but did contain high levels of methylcitrate synthase, an enzyme of the methylcitrate cycle for propionyl-CoA catabolism. Gel filtration experiments revealed a peak of methylcitrate synthase distinct from the citrate synthase of the bacterium. The enzyme was induced by growth on propionate and on propanol and heptanoate, precursors of propionate. These results suggest that P. aeruginosa may utilize the methylcitrate cycle to metabolize propionate, a pathway heretofore only described in the yeast Candida lipolytica. © 1983 Springer-Verlag New York Inc.","author":[{"dropping-particle":"","family":"Watson","given":"David","non-dropping-particle":"","parse-names":false,"suffix":""},{"dropping-particle":"","family":"Lindel","given":"Deborah L.","non-dropping-particle":"","parse-names":false,"suffix":""},{"dropping-particle":"","family":"Fall","given":"Ray","non-dropping-particle":"","parse-names":false,"suffix":""}],"container-title":"Current Microbiology","id":"ITEM-1","issue":"1","issued":{"date-parts":[["1983"]]},"page":"17-21","title":"&lt;i&gt;Pseudomonas aeruginosa&lt;/i&gt; contains an inducible methylcitrate synthase","type":"article-journal","volume":"8"},"uris":["http://www.mendeley.com/documents/?uuid=bf1c0ef1-a644-4dc6-8849-28c31a7b6967"]},{"id":"ITEM-2","itemData":{"DOI":"https://doi.org/10.1128/mbio.02541-22","abstract":"The human pathogen Pseudomonas aeruginosa (Pa) is one of the most frequent and severe causes of nosocomial infection. This organism is also a major cause of airway infections in people with cystic fibrosis (CF). Pa is known to have a remarkable metabolic plasticity, allowing it to thrive in diverse environmental conditions and ecological niches, yet little is known about the central metabolic pathways which sustain its growth during infection, or precisely how these pathways operate. In this work, we used a combination of ‘omics approaches (transcriptomics, proteomics, metabolomics and 13C-fluxomics) and reverse genetics to provide a systems-level insight into how the infection-relevant organic acids, succinate and propionate, are metabolized by Pa. Moreover, through structural and kinetic analysis of the 2-methylcitrate synthase (PrpC) and its paralogue, citrate synthase (GltA), we show how these two crucial enzymatic steps are interconnected in Pa organic acid assimilation. We found that Pa can rapidly adapt to the loss of GltA function by acquiring mutations in a transcriptional repressor, which then de-represses prpC expression. Our findings provide a clear example of how ‘underground metabolism’, facilitated by enzyme substrate promiscuity, “rewires” Pa metabolism, allowing it to overcome the loss of a crucial enzyme. This pathogen-specific knowledge is critical for the advancement of a model-driven framework to target bacterial central metabolism. ### Competing Interest Statement The authors have declared no competing interest.","author":[{"dropping-particle":"","family":"Dolan","given":"Stephen K.","non-dropping-particle":"","parse-names":false,"suffix":""},{"dropping-particle":"","family":"Wijaya","given":"Andre","non-dropping-particle":"","parse-names":false,"suffix":""},{"dropping-particle":"","family":"Kohlstedt","given":"Michael","non-dropping-particle":"","parse-names":false,"suffix":""},{"dropping-particle":"","family":"Gläser","given":"Lars","non-dropping-particle":"","parse-names":false,"suffix":""},{"dropping-particle":"","family":"Brear","given":"Paul","non-dropping-particle":"","parse-names":false,"suffix":""},{"dropping-particle":"","family":"Silva-Rocha","given":"Rafael","non-dropping-particle":"","parse-names":false,"suffix":""},{"dropping-particle":"","family":"Wittmann","given":"Christoph","non-dropping-particle":"","parse-names":false,"suffix":""},{"dropping-particle":"","family":"Welch","given":"Martin","non-dropping-particle":"","parse-names":false,"suffix":""}],"container-title":"mBio","id":"ITEM-2","issue":"6","issued":{"date-parts":[["2022"]]},"note":"PrpC has activity for propionyl-CoA and acetyl-CoA, GltA has only acetyl-CoA activity. GltA has no PrpC activity.\n\nKinetics: PrpC has comparable activity for prop-CoA and AcCoA in contrast to previously published PrpC characterizations of other hosts.\n\nGltA is likely NADH regulated. PrpC not.","publisher":"American Society for Microbiology","title":"Systems-wide dissection of organic acid assimilation in &lt;i&gt;Pseudomonas aeruginosa&lt;/i&gt; reveals a novel path to underground metabolism","type":"article-journal","volume":"13"},"uris":["http://www.mendeley.com/documents/?uuid=428d665d-17f6-41d2-a3f1-c92bbeb4a455"]}],"mendeley":{"formattedCitation":"(Dolan et al., 2022; Watson et al., 1983)","plainTextFormattedCitation":"(Dolan et al., 2022; Watson et al., 1983)","previouslyFormattedCitation":"(Dolan et al., 2022; Watson et al., 1983)"},"properties":{"noteIndex":0},"schema":"https://github.com/citation-style-language/schema/raw/master/csl-citation.json"}</w:instrText>
      </w:r>
      <w:r w:rsidR="00CB2D73" w:rsidRPr="002A6BF2">
        <w:rPr>
          <w:lang w:val="en-US"/>
        </w:rPr>
        <w:fldChar w:fldCharType="separate"/>
      </w:r>
      <w:r w:rsidR="00BA165E" w:rsidRPr="002A6BF2">
        <w:rPr>
          <w:noProof/>
          <w:lang w:val="en-US"/>
        </w:rPr>
        <w:t>(Dolan et al., 2022; Watson et al., 1983)</w:t>
      </w:r>
      <w:r w:rsidR="00CB2D73" w:rsidRPr="002A6BF2">
        <w:rPr>
          <w:lang w:val="en-US"/>
        </w:rPr>
        <w:fldChar w:fldCharType="end"/>
      </w:r>
      <w:r w:rsidR="00C30792" w:rsidRPr="002A6BF2">
        <w:rPr>
          <w:lang w:val="en-US"/>
        </w:rPr>
        <w:t xml:space="preserve">. </w:t>
      </w:r>
      <w:r w:rsidR="00127225" w:rsidRPr="002A6BF2">
        <w:rPr>
          <w:lang w:val="en-US"/>
        </w:rPr>
        <w:t xml:space="preserve">The successful generation of a strain with replacement of </w:t>
      </w:r>
      <w:r w:rsidR="00127225" w:rsidRPr="002A6BF2">
        <w:rPr>
          <w:i/>
          <w:iCs/>
          <w:lang w:val="en-US"/>
        </w:rPr>
        <w:t>gltA</w:t>
      </w:r>
      <w:r w:rsidR="00127225" w:rsidRPr="002A6BF2">
        <w:rPr>
          <w:lang w:val="en-US"/>
        </w:rPr>
        <w:t xml:space="preserve"> by </w:t>
      </w:r>
      <w:r w:rsidR="00127225" w:rsidRPr="002A6BF2">
        <w:rPr>
          <w:i/>
          <w:iCs/>
          <w:lang w:val="en-US"/>
        </w:rPr>
        <w:t>prpC</w:t>
      </w:r>
      <w:r w:rsidR="00127225" w:rsidRPr="002A6BF2">
        <w:rPr>
          <w:lang w:val="en-US"/>
        </w:rPr>
        <w:t xml:space="preserve"> showed that citrate synthase function can also be attributed to PrpC. </w:t>
      </w:r>
      <w:r w:rsidR="00700EB2" w:rsidRPr="002A6BF2">
        <w:rPr>
          <w:lang w:val="en-US"/>
        </w:rPr>
        <w:t xml:space="preserve">This revealed citrate synthase exchangeability with the native methylcitrate synthase in </w:t>
      </w:r>
      <w:r w:rsidR="00700EB2" w:rsidRPr="002A6BF2">
        <w:rPr>
          <w:i/>
          <w:lang w:val="en-US"/>
        </w:rPr>
        <w:t>P. taiwanensis</w:t>
      </w:r>
      <w:r w:rsidR="00700EB2" w:rsidRPr="002A6BF2">
        <w:rPr>
          <w:lang w:val="en-US"/>
        </w:rPr>
        <w:t xml:space="preserve"> VLB120, confirming published results obtained from </w:t>
      </w:r>
      <w:r w:rsidR="00700EB2" w:rsidRPr="002A6BF2">
        <w:rPr>
          <w:i/>
          <w:lang w:val="en-US"/>
        </w:rPr>
        <w:t>P. aeruginosa</w:t>
      </w:r>
      <w:r w:rsidR="00700EB2" w:rsidRPr="002A6BF2">
        <w:rPr>
          <w:lang w:val="en-US"/>
        </w:rPr>
        <w:t xml:space="preserve"> </w:t>
      </w:r>
      <w:r w:rsidR="00700EB2" w:rsidRPr="002A6BF2">
        <w:rPr>
          <w:lang w:val="en-US"/>
        </w:rPr>
        <w:fldChar w:fldCharType="begin" w:fldLock="1"/>
      </w:r>
      <w:r w:rsidR="00700EB2" w:rsidRPr="002A6BF2">
        <w:rPr>
          <w:lang w:val="en-US"/>
        </w:rPr>
        <w:instrText>ADDIN CSL_CITATION {"citationItems":[{"id":"ITEM-1","itemData":{"DOI":"https://doi.org/10.1128/mbio.02541-22","abstract":"The human pathogen Pseudomonas aeruginosa (Pa) is one of the most frequent and severe causes of nosocomial infection. This organism is also a major cause of airway infections in people with cystic fibrosis (CF). Pa is known to have a remarkable metabolic plasticity, allowing it to thrive in diverse environmental conditions and ecological niches, yet little is known about the central metabolic pathways which sustain its growth during infection, or precisely how these pathways operate. In this work, we used a combination of ‘omics approaches (transcriptomics, proteomics, metabolomics and 13C-fluxomics) and reverse genetics to provide a systems-level insight into how the infection-relevant organic acids, succinate and propionate, are metabolized by Pa. Moreover, through structural and kinetic analysis of the 2-methylcitrate synthase (PrpC) and its paralogue, citrate synthase (GltA), we show how these two crucial enzymatic steps are interconnected in Pa organic acid assimilation. We found that Pa can rapidly adapt to the loss of GltA function by acquiring mutations in a transcriptional repressor, which then de-represses prpC expression. Our findings provide a clear example of how ‘underground metabolism’, facilitated by enzyme substrate promiscuity, “rewires” Pa metabolism, allowing it to overcome the loss of a crucial enzyme. This pathogen-specific knowledge is critical for the advancement of a model-driven framework to target bacterial central metabolism. ### Competing Interest Statement The authors have declared no competing interest.","author":[{"dropping-particle":"","family":"Dolan","given":"Stephen K.","non-dropping-particle":"","parse-names":false,"suffix":""},{"dropping-particle":"","family":"Wijaya","given":"Andre","non-dropping-particle":"","parse-names":false,"suffix":""},{"dropping-particle":"","family":"Kohlstedt","given":"Michael","non-dropping-particle":"","parse-names":false,"suffix":""},{"dropping-particle":"","family":"Gläser","given":"Lars","non-dropping-particle":"","parse-names":false,"suffix":""},{"dropping-particle":"","family":"Brear","given":"Paul","non-dropping-particle":"","parse-names":false,"suffix":""},{"dropping-particle":"","family":"Silva-Rocha","given":"Rafael","non-dropping-particle":"","parse-names":false,"suffix":""},{"dropping-particle":"","family":"Wittmann","given":"Christoph","non-dropping-particle":"","parse-names":false,"suffix":""},{"dropping-particle":"","family":"Welch","given":"Martin","non-dropping-particle":"","parse-names":false,"suffix":""}],"container-title":"mBio","id":"ITEM-1","issue":"6","issued":{"date-parts":[["2022"]]},"note":"PrpC has activity for propionyl-CoA and acetyl-CoA, GltA has only acetyl-CoA activity. GltA has no PrpC activity.\n\nKinetics: PrpC has comparable activity for prop-CoA and AcCoA in contrast to previously published PrpC characterizations of other hosts.\n\nGltA is likely NADH regulated. PrpC not.","publisher":"American Society for Microbiology","title":"Systems-wide dissection of organic acid assimilation in &lt;i&gt;Pseudomonas aeruginosa&lt;/i&gt; reveals a novel path to underground metabolism","type":"article-journal","volume":"13"},"uris":["http://www.mendeley.com/documents/?uuid=428d665d-17f6-41d2-a3f1-c92bbeb4a455"]}],"mendeley":{"formattedCitation":"(Dolan et al., 2022)","plainTextFormattedCitation":"(Dolan et al., 2022)","previouslyFormattedCitation":"(Dolan et al., 2022)"},"properties":{"noteIndex":0},"schema":"https://github.com/citation-style-language/schema/raw/master/csl-citation.json"}</w:instrText>
      </w:r>
      <w:r w:rsidR="00700EB2" w:rsidRPr="002A6BF2">
        <w:rPr>
          <w:lang w:val="en-US"/>
        </w:rPr>
        <w:fldChar w:fldCharType="separate"/>
      </w:r>
      <w:r w:rsidR="00700EB2" w:rsidRPr="002A6BF2">
        <w:rPr>
          <w:noProof/>
          <w:lang w:val="en-US"/>
        </w:rPr>
        <w:t>(Dolan et al., 2022)</w:t>
      </w:r>
      <w:r w:rsidR="00700EB2" w:rsidRPr="002A6BF2">
        <w:rPr>
          <w:lang w:val="en-US"/>
        </w:rPr>
        <w:fldChar w:fldCharType="end"/>
      </w:r>
      <w:r w:rsidR="00700EB2" w:rsidRPr="002A6BF2">
        <w:rPr>
          <w:lang w:val="en-US"/>
        </w:rPr>
        <w:t>.</w:t>
      </w:r>
      <w:r w:rsidR="00127225" w:rsidRPr="002A6BF2">
        <w:rPr>
          <w:lang w:val="en-US"/>
        </w:rPr>
        <w:t xml:space="preserve"> Conditional essentiality of </w:t>
      </w:r>
      <w:r w:rsidR="00127225" w:rsidRPr="002A6BF2">
        <w:rPr>
          <w:i/>
          <w:iCs/>
          <w:lang w:val="en-US"/>
        </w:rPr>
        <w:t>gltA</w:t>
      </w:r>
      <w:r w:rsidR="00127225" w:rsidRPr="002A6BF2">
        <w:rPr>
          <w:lang w:val="en-US"/>
        </w:rPr>
        <w:t xml:space="preserve"> in </w:t>
      </w:r>
      <w:r w:rsidR="00127225" w:rsidRPr="002A6BF2">
        <w:rPr>
          <w:i/>
          <w:iCs/>
          <w:lang w:val="en-US"/>
        </w:rPr>
        <w:t>P. taiwanensis</w:t>
      </w:r>
      <w:r w:rsidR="00127225" w:rsidRPr="002A6BF2">
        <w:rPr>
          <w:lang w:val="en-US"/>
        </w:rPr>
        <w:t xml:space="preserve"> VLB120 must therefore result from </w:t>
      </w:r>
      <w:r w:rsidR="00127225" w:rsidRPr="002A6BF2">
        <w:rPr>
          <w:i/>
          <w:iCs/>
          <w:lang w:val="en-US"/>
        </w:rPr>
        <w:t>prpC</w:t>
      </w:r>
      <w:r w:rsidR="00127225" w:rsidRPr="002A6BF2">
        <w:rPr>
          <w:lang w:val="en-US"/>
        </w:rPr>
        <w:t xml:space="preserve"> expression profile which might vary </w:t>
      </w:r>
      <w:r w:rsidR="00127225" w:rsidRPr="002A6BF2">
        <w:rPr>
          <w:lang w:val="en-US"/>
        </w:rPr>
        <w:lastRenderedPageBreak/>
        <w:t xml:space="preserve">from that of </w:t>
      </w:r>
      <w:r w:rsidR="00127225" w:rsidRPr="002A6BF2">
        <w:rPr>
          <w:i/>
          <w:iCs/>
          <w:lang w:val="en-US"/>
        </w:rPr>
        <w:t>P. aeruginosa</w:t>
      </w:r>
      <w:r w:rsidR="00127225" w:rsidRPr="002A6BF2">
        <w:rPr>
          <w:lang w:val="en-US"/>
        </w:rPr>
        <w:t xml:space="preserve"> or other pseudomonads during the used deletion procedure.</w:t>
      </w:r>
      <w:r w:rsidR="00A055FA" w:rsidRPr="002A6BF2">
        <w:rPr>
          <w:lang w:val="en-US"/>
        </w:rPr>
        <w:t xml:space="preserve"> </w:t>
      </w:r>
    </w:p>
    <w:p w14:paraId="62BE152C" w14:textId="1A08FF9B" w:rsidR="0072500A" w:rsidRPr="002A6BF2" w:rsidRDefault="00C5194E" w:rsidP="00B84A00">
      <w:pPr>
        <w:spacing w:line="276" w:lineRule="auto"/>
        <w:jc w:val="both"/>
        <w:rPr>
          <w:lang w:val="en-US"/>
        </w:rPr>
      </w:pPr>
      <w:r w:rsidRPr="002A6BF2">
        <w:rPr>
          <w:lang w:val="en-US"/>
        </w:rPr>
        <w:t>In addition</w:t>
      </w:r>
      <w:r w:rsidR="0072500A" w:rsidRPr="002A6BF2">
        <w:rPr>
          <w:lang w:val="en-US"/>
        </w:rPr>
        <w:t xml:space="preserve">, </w:t>
      </w:r>
      <w:r w:rsidR="00CE2755" w:rsidRPr="002A6BF2">
        <w:rPr>
          <w:lang w:val="en-US"/>
        </w:rPr>
        <w:t xml:space="preserve">the </w:t>
      </w:r>
      <w:r w:rsidRPr="002A6BF2">
        <w:rPr>
          <w:lang w:val="en-US"/>
        </w:rPr>
        <w:t>two</w:t>
      </w:r>
      <w:r w:rsidR="00CE2755" w:rsidRPr="002A6BF2">
        <w:rPr>
          <w:lang w:val="en-US"/>
        </w:rPr>
        <w:t xml:space="preserve"> strateg</w:t>
      </w:r>
      <w:r w:rsidRPr="002A6BF2">
        <w:rPr>
          <w:lang w:val="en-US"/>
        </w:rPr>
        <w:t>ies</w:t>
      </w:r>
      <w:r w:rsidR="00CE2755" w:rsidRPr="002A6BF2">
        <w:rPr>
          <w:lang w:val="en-US"/>
        </w:rPr>
        <w:t xml:space="preserve"> </w:t>
      </w:r>
      <w:r w:rsidR="00747B9E" w:rsidRPr="002A6BF2">
        <w:rPr>
          <w:lang w:val="en-US"/>
        </w:rPr>
        <w:t>were</w:t>
      </w:r>
      <w:r w:rsidR="00CE2755" w:rsidRPr="002A6BF2">
        <w:rPr>
          <w:lang w:val="en-US"/>
        </w:rPr>
        <w:t xml:space="preserve"> combined</w:t>
      </w:r>
      <w:r w:rsidRPr="002A6BF2">
        <w:rPr>
          <w:lang w:val="en-US"/>
        </w:rPr>
        <w:t xml:space="preserve"> by replacing</w:t>
      </w:r>
      <w:r w:rsidR="00CE2755" w:rsidRPr="002A6BF2">
        <w:rPr>
          <w:lang w:val="en-US"/>
        </w:rPr>
        <w:t xml:space="preserve"> </w:t>
      </w:r>
      <w:r w:rsidR="0072500A" w:rsidRPr="002A6BF2">
        <w:rPr>
          <w:lang w:val="en-US"/>
        </w:rPr>
        <w:t xml:space="preserve">the native promoter of </w:t>
      </w:r>
      <w:r w:rsidR="00F873A3" w:rsidRPr="002A6BF2">
        <w:rPr>
          <w:i/>
          <w:lang w:val="en-US"/>
        </w:rPr>
        <w:t>g</w:t>
      </w:r>
      <w:r w:rsidR="0072500A" w:rsidRPr="002A6BF2">
        <w:rPr>
          <w:i/>
          <w:lang w:val="en-US"/>
        </w:rPr>
        <w:t>ltA</w:t>
      </w:r>
      <w:r w:rsidR="0072500A" w:rsidRPr="002A6BF2">
        <w:rPr>
          <w:lang w:val="en-US"/>
        </w:rPr>
        <w:t xml:space="preserve"> </w:t>
      </w:r>
      <w:r w:rsidRPr="002A6BF2">
        <w:rPr>
          <w:lang w:val="en-US"/>
        </w:rPr>
        <w:t>with</w:t>
      </w:r>
      <w:r w:rsidR="0072500A" w:rsidRPr="002A6BF2">
        <w:rPr>
          <w:lang w:val="en-US"/>
        </w:rPr>
        <w:t xml:space="preserve"> </w:t>
      </w:r>
      <w:r w:rsidR="00987684" w:rsidRPr="002A6BF2">
        <w:rPr>
          <w:i/>
          <w:lang w:val="en-US"/>
        </w:rPr>
        <w:t>P</w:t>
      </w:r>
      <w:r w:rsidR="00987684" w:rsidRPr="002A6BF2">
        <w:rPr>
          <w:i/>
          <w:vertAlign w:val="subscript"/>
          <w:lang w:val="en-US"/>
        </w:rPr>
        <w:t>14a</w:t>
      </w:r>
      <w:r w:rsidR="00987684" w:rsidRPr="002A6BF2">
        <w:rPr>
          <w:i/>
          <w:lang w:val="en-US"/>
        </w:rPr>
        <w:t>*</w:t>
      </w:r>
      <w:r w:rsidR="00987684" w:rsidRPr="002A6BF2">
        <w:rPr>
          <w:lang w:val="en-US"/>
        </w:rPr>
        <w:t xml:space="preserve"> </w:t>
      </w:r>
      <w:r w:rsidR="0072500A" w:rsidRPr="002A6BF2">
        <w:rPr>
          <w:lang w:val="en-US"/>
        </w:rPr>
        <w:t xml:space="preserve">in </w:t>
      </w:r>
      <w:r w:rsidRPr="002A6BF2">
        <w:rPr>
          <w:lang w:val="en-US"/>
        </w:rPr>
        <w:t xml:space="preserve">the </w:t>
      </w:r>
      <w:r w:rsidR="00383867" w:rsidRPr="002A6BF2">
        <w:rPr>
          <w:rFonts w:cstheme="minorHAnsi"/>
          <w:lang w:val="en-US"/>
        </w:rPr>
        <w:t>Δ</w:t>
      </w:r>
      <w:r w:rsidR="0072500A" w:rsidRPr="002A6BF2">
        <w:rPr>
          <w:i/>
          <w:lang w:val="en-US"/>
        </w:rPr>
        <w:t>gltA</w:t>
      </w:r>
      <w:r w:rsidR="0072500A" w:rsidRPr="002A6BF2">
        <w:rPr>
          <w:lang w:val="en-US"/>
        </w:rPr>
        <w:t>::</w:t>
      </w:r>
      <w:r w:rsidR="0072500A" w:rsidRPr="002A6BF2">
        <w:rPr>
          <w:i/>
          <w:lang w:val="en-US"/>
        </w:rPr>
        <w:t>prpC</w:t>
      </w:r>
      <w:r w:rsidR="0072500A" w:rsidRPr="002A6BF2">
        <w:rPr>
          <w:lang w:val="en-US"/>
        </w:rPr>
        <w:t xml:space="preserve"> strain, resulting in a </w:t>
      </w:r>
      <w:r w:rsidR="00383867" w:rsidRPr="002A6BF2">
        <w:rPr>
          <w:rFonts w:cstheme="minorHAnsi"/>
          <w:lang w:val="en-US"/>
        </w:rPr>
        <w:t>Δ</w:t>
      </w:r>
      <w:r w:rsidR="0072500A" w:rsidRPr="002A6BF2">
        <w:rPr>
          <w:i/>
          <w:lang w:val="en-US"/>
        </w:rPr>
        <w:t>P</w:t>
      </w:r>
      <w:r w:rsidR="00383867" w:rsidRPr="002A6BF2">
        <w:rPr>
          <w:i/>
          <w:vertAlign w:val="subscript"/>
          <w:lang w:val="en-US"/>
        </w:rPr>
        <w:t>g</w:t>
      </w:r>
      <w:r w:rsidR="0072500A" w:rsidRPr="002A6BF2">
        <w:rPr>
          <w:i/>
          <w:vertAlign w:val="subscript"/>
          <w:lang w:val="en-US"/>
        </w:rPr>
        <w:t>ltA</w:t>
      </w:r>
      <w:r w:rsidR="0072500A" w:rsidRPr="002A6BF2">
        <w:rPr>
          <w:lang w:val="en-US"/>
        </w:rPr>
        <w:t>::</w:t>
      </w:r>
      <w:r w:rsidR="00383867" w:rsidRPr="002A6BF2">
        <w:rPr>
          <w:i/>
          <w:lang w:val="en-US"/>
        </w:rPr>
        <w:t>P</w:t>
      </w:r>
      <w:r w:rsidR="0072500A" w:rsidRPr="002A6BF2">
        <w:rPr>
          <w:i/>
          <w:vertAlign w:val="subscript"/>
          <w:lang w:val="en-US"/>
        </w:rPr>
        <w:t>14a</w:t>
      </w:r>
      <w:r w:rsidR="00383867" w:rsidRPr="002A6BF2">
        <w:rPr>
          <w:i/>
          <w:lang w:val="en-US"/>
        </w:rPr>
        <w:t>*</w:t>
      </w:r>
      <w:r w:rsidR="0072500A" w:rsidRPr="002A6BF2">
        <w:rPr>
          <w:lang w:val="en-US"/>
        </w:rPr>
        <w:t xml:space="preserve"> </w:t>
      </w:r>
      <w:r w:rsidR="00383867" w:rsidRPr="002A6BF2">
        <w:rPr>
          <w:rFonts w:cstheme="minorHAnsi"/>
          <w:lang w:val="en-US"/>
        </w:rPr>
        <w:t>Δ</w:t>
      </w:r>
      <w:r w:rsidR="0072500A" w:rsidRPr="002A6BF2">
        <w:rPr>
          <w:i/>
          <w:lang w:val="en-US"/>
        </w:rPr>
        <w:t>gltA</w:t>
      </w:r>
      <w:r w:rsidR="0072500A" w:rsidRPr="002A6BF2">
        <w:rPr>
          <w:lang w:val="en-US"/>
        </w:rPr>
        <w:t>::</w:t>
      </w:r>
      <w:r w:rsidR="0072500A" w:rsidRPr="002A6BF2">
        <w:rPr>
          <w:i/>
          <w:lang w:val="en-US"/>
        </w:rPr>
        <w:t>prpC</w:t>
      </w:r>
      <w:r w:rsidR="0072500A" w:rsidRPr="002A6BF2">
        <w:rPr>
          <w:lang w:val="en-US"/>
        </w:rPr>
        <w:t xml:space="preserve"> </w:t>
      </w:r>
      <w:r w:rsidRPr="002A6BF2">
        <w:rPr>
          <w:lang w:val="en-US"/>
        </w:rPr>
        <w:t>genotype</w:t>
      </w:r>
      <w:r w:rsidR="0072500A" w:rsidRPr="002A6BF2">
        <w:rPr>
          <w:lang w:val="en-US"/>
        </w:rPr>
        <w:t xml:space="preserve">. </w:t>
      </w:r>
    </w:p>
    <w:p w14:paraId="202B1D9B" w14:textId="3FA6374F" w:rsidR="000D554A" w:rsidRPr="002A6BF2" w:rsidRDefault="00C5194E" w:rsidP="00B84A00">
      <w:pPr>
        <w:spacing w:line="276" w:lineRule="auto"/>
        <w:jc w:val="both"/>
        <w:rPr>
          <w:lang w:val="en-US"/>
        </w:rPr>
      </w:pPr>
      <w:r w:rsidRPr="002A6BF2">
        <w:rPr>
          <w:lang w:val="en-US"/>
        </w:rPr>
        <w:t>Lastly</w:t>
      </w:r>
      <w:r w:rsidR="00670009" w:rsidRPr="002A6BF2">
        <w:rPr>
          <w:lang w:val="en-US"/>
        </w:rPr>
        <w:t>, i</w:t>
      </w:r>
      <w:r w:rsidR="000D554A" w:rsidRPr="002A6BF2">
        <w:rPr>
          <w:lang w:val="en-US"/>
        </w:rPr>
        <w:t xml:space="preserve">n order to </w:t>
      </w:r>
      <w:r w:rsidR="00C93478" w:rsidRPr="002A6BF2">
        <w:rPr>
          <w:lang w:val="en-US"/>
        </w:rPr>
        <w:t>shift</w:t>
      </w:r>
      <w:r w:rsidR="000D554A" w:rsidRPr="002A6BF2">
        <w:rPr>
          <w:lang w:val="en-US"/>
        </w:rPr>
        <w:t xml:space="preserve"> carbon fluxes further towards acetyl-CoA</w:t>
      </w:r>
      <w:r w:rsidRPr="002A6BF2">
        <w:rPr>
          <w:lang w:val="en-US"/>
        </w:rPr>
        <w:t>,</w:t>
      </w:r>
      <w:r w:rsidR="000D554A" w:rsidRPr="002A6BF2">
        <w:rPr>
          <w:lang w:val="en-US"/>
        </w:rPr>
        <w:t xml:space="preserve"> the pyruvate shunt</w:t>
      </w:r>
      <w:r w:rsidR="00647AA9" w:rsidRPr="002A6BF2">
        <w:rPr>
          <w:lang w:val="en-US"/>
        </w:rPr>
        <w:t xml:space="preserve"> </w:t>
      </w:r>
      <w:r w:rsidR="000D554A" w:rsidRPr="002A6BF2">
        <w:rPr>
          <w:lang w:val="en-US"/>
        </w:rPr>
        <w:t xml:space="preserve">into the TCA cycle </w:t>
      </w:r>
      <w:r w:rsidR="00A4103D" w:rsidRPr="002A6BF2">
        <w:rPr>
          <w:lang w:val="en-US"/>
        </w:rPr>
        <w:t>wa</w:t>
      </w:r>
      <w:r w:rsidR="000D554A" w:rsidRPr="002A6BF2">
        <w:rPr>
          <w:lang w:val="en-US"/>
        </w:rPr>
        <w:t>s</w:t>
      </w:r>
      <w:r w:rsidRPr="002A6BF2">
        <w:rPr>
          <w:lang w:val="en-US"/>
        </w:rPr>
        <w:t xml:space="preserve"> blocked by deletion of the pyruvate carboxylase</w:t>
      </w:r>
      <w:r w:rsidR="00747B9E" w:rsidRPr="002A6BF2">
        <w:rPr>
          <w:lang w:val="en-US"/>
        </w:rPr>
        <w:t>-</w:t>
      </w:r>
      <w:r w:rsidRPr="002A6BF2">
        <w:rPr>
          <w:lang w:val="en-US"/>
        </w:rPr>
        <w:t xml:space="preserve">encoding </w:t>
      </w:r>
      <w:r w:rsidRPr="002A6BF2">
        <w:rPr>
          <w:i/>
          <w:lang w:val="en-US"/>
        </w:rPr>
        <w:t>pycAB</w:t>
      </w:r>
      <w:r w:rsidR="00647AA9" w:rsidRPr="002A6BF2">
        <w:rPr>
          <w:lang w:val="en-US"/>
        </w:rPr>
        <w:t xml:space="preserve">. </w:t>
      </w:r>
    </w:p>
    <w:p w14:paraId="08CFC51C" w14:textId="67C7E8F8" w:rsidR="0039147E" w:rsidRPr="002A6BF2" w:rsidRDefault="00F873A3" w:rsidP="00B84A00">
      <w:pPr>
        <w:spacing w:line="276" w:lineRule="auto"/>
        <w:jc w:val="both"/>
        <w:rPr>
          <w:lang w:val="en-US"/>
        </w:rPr>
      </w:pPr>
      <w:r w:rsidRPr="002A6BF2">
        <w:rPr>
          <w:lang w:val="en-US"/>
        </w:rPr>
        <w:t>Beside the accumulation of the central intermediate acetyl-CoA by reducing the activity of acetyl-</w:t>
      </w:r>
      <w:r w:rsidR="007110A5" w:rsidRPr="002A6BF2">
        <w:rPr>
          <w:lang w:val="en-US"/>
        </w:rPr>
        <w:t>CoA-</w:t>
      </w:r>
      <w:r w:rsidRPr="002A6BF2">
        <w:rPr>
          <w:lang w:val="en-US"/>
        </w:rPr>
        <w:t xml:space="preserve">consuming </w:t>
      </w:r>
      <w:r w:rsidR="007110A5" w:rsidRPr="002A6BF2">
        <w:rPr>
          <w:lang w:val="en-US"/>
        </w:rPr>
        <w:t xml:space="preserve">reactions </w:t>
      </w:r>
      <w:r w:rsidRPr="002A6BF2">
        <w:rPr>
          <w:lang w:val="en-US"/>
        </w:rPr>
        <w:t xml:space="preserve">or </w:t>
      </w:r>
      <w:r w:rsidR="007110A5" w:rsidRPr="002A6BF2">
        <w:rPr>
          <w:lang w:val="en-US"/>
        </w:rPr>
        <w:t xml:space="preserve">metabolic </w:t>
      </w:r>
      <w:r w:rsidRPr="002A6BF2">
        <w:rPr>
          <w:lang w:val="en-US"/>
        </w:rPr>
        <w:t>bypass</w:t>
      </w:r>
      <w:r w:rsidR="007110A5" w:rsidRPr="002A6BF2">
        <w:rPr>
          <w:lang w:val="en-US"/>
        </w:rPr>
        <w:t>es</w:t>
      </w:r>
      <w:r w:rsidRPr="002A6BF2">
        <w:rPr>
          <w:lang w:val="en-US"/>
        </w:rPr>
        <w:t xml:space="preserve">, the conversion of acetyl-CoA to malonyl-CoA by ACC is a </w:t>
      </w:r>
      <w:r w:rsidR="007110A5" w:rsidRPr="002A6BF2">
        <w:rPr>
          <w:lang w:val="en-US"/>
        </w:rPr>
        <w:t xml:space="preserve">known </w:t>
      </w:r>
      <w:r w:rsidRPr="002A6BF2">
        <w:rPr>
          <w:lang w:val="en-US"/>
        </w:rPr>
        <w:t>bottleneck in polyketide synthesis</w:t>
      </w:r>
      <w:r w:rsidR="00901659" w:rsidRPr="002A6BF2">
        <w:rPr>
          <w:lang w:val="en-US"/>
        </w:rPr>
        <w:t xml:space="preserve"> </w:t>
      </w:r>
      <w:r w:rsidR="00901659" w:rsidRPr="002A6BF2">
        <w:rPr>
          <w:lang w:val="en-US"/>
        </w:rPr>
        <w:fldChar w:fldCharType="begin" w:fldLock="1"/>
      </w:r>
      <w:r w:rsidR="00D40894" w:rsidRPr="002A6BF2">
        <w:rPr>
          <w:lang w:val="en-US"/>
        </w:rPr>
        <w:instrText>ADDIN CSL_CITATION {"citationItems":[{"id":"ITEM-1","itemData":{"DOI":"10.1128/AEM.00200-07","ISSN":"00992240","abstract":"The identification of optimal genotypes that result in improved production of recombinant metabolites remains an engineering conundrum. In the present work, various strategies to reengineer central metabolism in Escherichia coli were explored for robust synthesis of flavanones, the common precursors of plant flavonoid secondary metabolites. Augmentation of the intracellular malonyl coenzyme A (malonyl-CoA) pool through the coordinated overexpression of four acetyl-CoA carboxylase (ACC) subunits from Photorhabdus luminescens (PIACC) under a constitutive promoter resulted in an increase in flavanone production up to 576%. Exploration of macromolecule complexes to optimize metabolic efficiency demonstrated that auxiliary expression of PIACC with biotin ligase from the same species (BirAPl) further elevated flavanone synthesis up to 1,166%. However, the coexpression of PIACC with Escherichia coli BirA (BirAEc) caused a marked decrease in flavanone production. Activity improvement was reconstituted with the coexpression of PIACC with a chimeric BirA consisting of the N terminus of BirAEc and the C terminus of BirAPl. In another approach, high levels of fiavanone synthesis were achieved through the amplification of acetate assimilation pathways combined with the overexpression of ACC. Overall, the metabolic engineering of central metabolic pathways described in the present work increased the production of pinocembrin, naringenin, and eriodictyol in 36 h up to 1,379%, 183%, and 373%, respectively, over production with the strains expressing only the flavonoid pathway, which corresponded to 429 mg/liter, 119 mg/liter, and 52 mg/liter, respectively. Copyright © 2007, American Society for Microbiology. All Rights Reserved.","author":[{"dropping-particle":"","family":"Leonard","given":"Effendi","non-dropping-particle":"","parse-names":false,"suffix":""},{"dropping-particle":"","family":"Lim","given":"Kok Hong","non-dropping-particle":"","parse-names":false,"suffix":""},{"dropping-particle":"","family":"Saw","given":"Phan Nee","non-dropping-particle":"","parse-names":false,"suffix":""},{"dropping-particle":"","family":"Koffas","given":"Mattheos A.G.","non-dropping-particle":"","parse-names":false,"suffix":""}],"container-title":"Applied and Environmental Microbiology","id":"ITEM-1","issue":"12","issued":{"date-parts":[["2007"]]},"page":"3877-3886","title":"Engineering central metabolic pathways for high-level flavonoid production in &lt;i&gt;Escherichia coli&lt;/i&gt;","type":"article-journal","volume":"73"},"uris":["http://www.mendeley.com/documents/?uuid=1d8832c0-8c01-44b6-a216-fa820292764b"]}],"mendeley":{"formattedCitation":"(Leonard et al., 2007)","plainTextFormattedCitation":"(Leonard et al., 2007)","previouslyFormattedCitation":"(Leonard et al., 2007)"},"properties":{"noteIndex":0},"schema":"https://github.com/citation-style-language/schema/raw/master/csl-citation.json"}</w:instrText>
      </w:r>
      <w:r w:rsidR="00901659" w:rsidRPr="002A6BF2">
        <w:rPr>
          <w:lang w:val="en-US"/>
        </w:rPr>
        <w:fldChar w:fldCharType="separate"/>
      </w:r>
      <w:r w:rsidR="00B255F3" w:rsidRPr="002A6BF2">
        <w:rPr>
          <w:noProof/>
          <w:lang w:val="en-US"/>
        </w:rPr>
        <w:t>(Leonard et al., 2007)</w:t>
      </w:r>
      <w:r w:rsidR="00901659" w:rsidRPr="002A6BF2">
        <w:rPr>
          <w:lang w:val="en-US"/>
        </w:rPr>
        <w:fldChar w:fldCharType="end"/>
      </w:r>
      <w:r w:rsidRPr="002A6BF2">
        <w:rPr>
          <w:lang w:val="en-US"/>
        </w:rPr>
        <w:t>.</w:t>
      </w:r>
      <w:r w:rsidR="00FB775C" w:rsidRPr="002A6BF2">
        <w:rPr>
          <w:lang w:val="en-US"/>
        </w:rPr>
        <w:t xml:space="preserve"> In </w:t>
      </w:r>
      <w:r w:rsidR="00FB775C" w:rsidRPr="002A6BF2">
        <w:rPr>
          <w:i/>
          <w:iCs/>
          <w:lang w:val="en-US"/>
        </w:rPr>
        <w:t>E. coli</w:t>
      </w:r>
      <w:r w:rsidR="00FB775C" w:rsidRPr="002A6BF2">
        <w:rPr>
          <w:lang w:val="en-US"/>
        </w:rPr>
        <w:t xml:space="preserve">, a significant improvement of malonyl-CoA availability was achieved using </w:t>
      </w:r>
      <w:r w:rsidR="00374BE5" w:rsidRPr="002A6BF2">
        <w:rPr>
          <w:lang w:val="en-US"/>
        </w:rPr>
        <w:t xml:space="preserve">balanced expression of </w:t>
      </w:r>
      <w:r w:rsidR="00FB775C" w:rsidRPr="002A6BF2">
        <w:rPr>
          <w:lang w:val="en-US"/>
        </w:rPr>
        <w:t xml:space="preserve">the four-subunit ACC from </w:t>
      </w:r>
      <w:r w:rsidR="00FB775C" w:rsidRPr="002A6BF2">
        <w:rPr>
          <w:i/>
          <w:lang w:val="en-US"/>
        </w:rPr>
        <w:t>Photorhabdus</w:t>
      </w:r>
      <w:r w:rsidR="00FB775C" w:rsidRPr="002A6BF2">
        <w:rPr>
          <w:lang w:val="en-US"/>
        </w:rPr>
        <w:t> </w:t>
      </w:r>
      <w:r w:rsidR="00FB775C" w:rsidRPr="002A6BF2">
        <w:rPr>
          <w:i/>
          <w:lang w:val="en-US"/>
        </w:rPr>
        <w:t>luminescen</w:t>
      </w:r>
      <w:r w:rsidR="00FB775C" w:rsidRPr="002A6BF2">
        <w:rPr>
          <w:i/>
          <w:iCs/>
          <w:lang w:val="en-US"/>
        </w:rPr>
        <w:t>s</w:t>
      </w:r>
      <w:r w:rsidR="00FB775C" w:rsidRPr="002A6BF2">
        <w:rPr>
          <w:lang w:val="en-US"/>
        </w:rPr>
        <w:t xml:space="preserve"> </w:t>
      </w:r>
      <w:r w:rsidR="00FB775C" w:rsidRPr="002A6BF2">
        <w:rPr>
          <w:lang w:val="en-US"/>
        </w:rPr>
        <w:fldChar w:fldCharType="begin" w:fldLock="1"/>
      </w:r>
      <w:r w:rsidR="00D40894" w:rsidRPr="002A6BF2">
        <w:rPr>
          <w:lang w:val="en-US"/>
        </w:rPr>
        <w:instrText>ADDIN CSL_CITATION {"citationItems":[{"id":"ITEM-1","itemData":{"DOI":"10.1128/AEM.00200-07","ISSN":"00992240","abstract":"The identification of optimal genotypes that result in improved production of recombinant metabolites remains an engineering conundrum. In the present work, various strategies to reengineer central metabolism in Escherichia coli were explored for robust synthesis of flavanones, the common precursors of plant flavonoid secondary metabolites. Augmentation of the intracellular malonyl coenzyme A (malonyl-CoA) pool through the coordinated overexpression of four acetyl-CoA carboxylase (ACC) subunits from Photorhabdus luminescens (PIACC) under a constitutive promoter resulted in an increase in flavanone production up to 576%. Exploration of macromolecule complexes to optimize metabolic efficiency demonstrated that auxiliary expression of PIACC with biotin ligase from the same species (BirAPl) further elevated flavanone synthesis up to 1,166%. However, the coexpression of PIACC with Escherichia coli BirA (BirAEc) caused a marked decrease in flavanone production. Activity improvement was reconstituted with the coexpression of PIACC with a chimeric BirA consisting of the N terminus of BirAEc and the C terminus of BirAPl. In another approach, high levels of fiavanone synthesis were achieved through the amplification of acetate assimilation pathways combined with the overexpression of ACC. Overall, the metabolic engineering of central metabolic pathways described in the present work increased the production of pinocembrin, naringenin, and eriodictyol in 36 h up to 1,379%, 183%, and 373%, respectively, over production with the strains expressing only the flavonoid pathway, which corresponded to 429 mg/liter, 119 mg/liter, and 52 mg/liter, respectively. Copyright © 2007, American Society for Microbiology. All Rights Reserved.","author":[{"dropping-particle":"","family":"Leonard","given":"Effendi","non-dropping-particle":"","parse-names":false,"suffix":""},{"dropping-particle":"","family":"Lim","given":"Kok Hong","non-dropping-particle":"","parse-names":false,"suffix":""},{"dropping-particle":"","family":"Saw","given":"Phan Nee","non-dropping-particle":"","parse-names":false,"suffix":""},{"dropping-particle":"","family":"Koffas","given":"Mattheos A.G.","non-dropping-particle":"","parse-names":false,"suffix":""}],"container-title":"Applied and Environmental Microbiology","id":"ITEM-1","issue":"12","issued":{"date-parts":[["2007"]]},"page":"3877-3886","title":"Engineering central metabolic pathways for high-level flavonoid production in &lt;i&gt;Escherichia coli&lt;/i&gt;","type":"article-journal","volume":"73"},"uris":["http://www.mendeley.com/documents/?uuid=1d8832c0-8c01-44b6-a216-fa820292764b"]}],"mendeley":{"formattedCitation":"(Leonard et al., 2007)","plainTextFormattedCitation":"(Leonard et al., 2007)","previouslyFormattedCitation":"(Leonard et al., 2007)"},"properties":{"noteIndex":0},"schema":"https://github.com/citation-style-language/schema/raw/master/csl-citation.json"}</w:instrText>
      </w:r>
      <w:r w:rsidR="00FB775C" w:rsidRPr="002A6BF2">
        <w:rPr>
          <w:lang w:val="en-US"/>
        </w:rPr>
        <w:fldChar w:fldCharType="separate"/>
      </w:r>
      <w:r w:rsidR="00B255F3" w:rsidRPr="002A6BF2">
        <w:rPr>
          <w:noProof/>
          <w:lang w:val="en-US"/>
        </w:rPr>
        <w:t>(Leonard et al., 2007)</w:t>
      </w:r>
      <w:r w:rsidR="00FB775C" w:rsidRPr="002A6BF2">
        <w:rPr>
          <w:lang w:val="en-US"/>
        </w:rPr>
        <w:fldChar w:fldCharType="end"/>
      </w:r>
      <w:r w:rsidR="00FB775C" w:rsidRPr="002A6BF2">
        <w:rPr>
          <w:lang w:val="en-US"/>
        </w:rPr>
        <w:t xml:space="preserve">. </w:t>
      </w:r>
      <w:r w:rsidRPr="002A6BF2">
        <w:rPr>
          <w:lang w:val="en-US"/>
        </w:rPr>
        <w:t xml:space="preserve">The ACC of </w:t>
      </w:r>
      <w:r w:rsidRPr="002A6BF2">
        <w:rPr>
          <w:i/>
          <w:lang w:val="en-US"/>
        </w:rPr>
        <w:t>P.</w:t>
      </w:r>
      <w:r w:rsidR="00C93478" w:rsidRPr="002A6BF2">
        <w:rPr>
          <w:i/>
          <w:lang w:val="en-US"/>
        </w:rPr>
        <w:t> </w:t>
      </w:r>
      <w:r w:rsidRPr="002A6BF2">
        <w:rPr>
          <w:i/>
          <w:lang w:val="en-US"/>
        </w:rPr>
        <w:t>taiwanensis</w:t>
      </w:r>
      <w:r w:rsidRPr="002A6BF2">
        <w:rPr>
          <w:lang w:val="en-US"/>
        </w:rPr>
        <w:t xml:space="preserve"> VLB120 </w:t>
      </w:r>
      <w:r w:rsidR="00FB775C" w:rsidRPr="002A6BF2">
        <w:rPr>
          <w:lang w:val="en-US"/>
        </w:rPr>
        <w:t xml:space="preserve">also </w:t>
      </w:r>
      <w:r w:rsidRPr="002A6BF2">
        <w:rPr>
          <w:lang w:val="en-US"/>
        </w:rPr>
        <w:t xml:space="preserve">consists of four subunits </w:t>
      </w:r>
      <w:r w:rsidRPr="002A6BF2">
        <w:rPr>
          <w:i/>
          <w:lang w:val="en-US"/>
        </w:rPr>
        <w:t>accA</w:t>
      </w:r>
      <w:r w:rsidRPr="002A6BF2">
        <w:rPr>
          <w:lang w:val="en-US"/>
        </w:rPr>
        <w:t xml:space="preserve">, </w:t>
      </w:r>
      <w:r w:rsidRPr="002A6BF2">
        <w:rPr>
          <w:i/>
          <w:lang w:val="en-US"/>
        </w:rPr>
        <w:t>accB</w:t>
      </w:r>
      <w:r w:rsidRPr="002A6BF2">
        <w:rPr>
          <w:lang w:val="en-US"/>
        </w:rPr>
        <w:t xml:space="preserve">, </w:t>
      </w:r>
      <w:r w:rsidRPr="002A6BF2">
        <w:rPr>
          <w:i/>
          <w:lang w:val="en-US"/>
        </w:rPr>
        <w:t>accC</w:t>
      </w:r>
      <w:r w:rsidR="007110A5" w:rsidRPr="002A6BF2">
        <w:rPr>
          <w:lang w:val="en-US"/>
        </w:rPr>
        <w:t>,</w:t>
      </w:r>
      <w:r w:rsidRPr="002A6BF2">
        <w:rPr>
          <w:lang w:val="en-US"/>
        </w:rPr>
        <w:t xml:space="preserve"> and </w:t>
      </w:r>
      <w:r w:rsidRPr="002A6BF2">
        <w:rPr>
          <w:i/>
          <w:lang w:val="en-US"/>
        </w:rPr>
        <w:t>accD</w:t>
      </w:r>
      <w:r w:rsidRPr="002A6BF2">
        <w:rPr>
          <w:lang w:val="en-US"/>
        </w:rPr>
        <w:t xml:space="preserve">, coding for carboxyltransferase α, biotin carboxyl carrier protein (BCCP), biotin carboxylase, and carboxyltransferase β, respectively. </w:t>
      </w:r>
      <w:r w:rsidR="00DD6281" w:rsidRPr="002A6BF2">
        <w:rPr>
          <w:lang w:val="en-US"/>
        </w:rPr>
        <w:t xml:space="preserve">In </w:t>
      </w:r>
      <w:r w:rsidR="000F4B91" w:rsidRPr="002A6BF2">
        <w:rPr>
          <w:i/>
          <w:lang w:val="en-US"/>
        </w:rPr>
        <w:t>C. glutamicum</w:t>
      </w:r>
      <w:r w:rsidR="00DD6281" w:rsidRPr="002A6BF2">
        <w:rPr>
          <w:lang w:val="en-US"/>
        </w:rPr>
        <w:t>, the overexpression of ACC alone had no effect</w:t>
      </w:r>
      <w:r w:rsidR="00901659" w:rsidRPr="002A6BF2">
        <w:rPr>
          <w:lang w:val="en-US"/>
        </w:rPr>
        <w:t xml:space="preserve"> on malonyl-CoA availability,</w:t>
      </w:r>
      <w:r w:rsidR="00DD6281" w:rsidRPr="002A6BF2">
        <w:rPr>
          <w:lang w:val="en-US"/>
        </w:rPr>
        <w:t xml:space="preserve"> but </w:t>
      </w:r>
      <w:r w:rsidR="00BB5D4A" w:rsidRPr="002A6BF2">
        <w:rPr>
          <w:lang w:val="en-US"/>
        </w:rPr>
        <w:t xml:space="preserve">it was beneficial </w:t>
      </w:r>
      <w:r w:rsidR="00DD6281" w:rsidRPr="002A6BF2">
        <w:rPr>
          <w:lang w:val="en-US"/>
        </w:rPr>
        <w:t xml:space="preserve">in combination with further </w:t>
      </w:r>
      <w:r w:rsidR="00BB5D4A" w:rsidRPr="002A6BF2">
        <w:rPr>
          <w:lang w:val="en-US"/>
        </w:rPr>
        <w:t>modifications causing</w:t>
      </w:r>
      <w:r w:rsidR="00901659" w:rsidRPr="002A6BF2">
        <w:rPr>
          <w:lang w:val="en-US"/>
        </w:rPr>
        <w:t xml:space="preserve"> increased</w:t>
      </w:r>
      <w:r w:rsidR="00BB5D4A" w:rsidRPr="002A6BF2">
        <w:rPr>
          <w:lang w:val="en-US"/>
        </w:rPr>
        <w:t xml:space="preserve"> </w:t>
      </w:r>
      <w:r w:rsidR="00DD6281" w:rsidRPr="002A6BF2">
        <w:rPr>
          <w:lang w:val="en-US"/>
        </w:rPr>
        <w:t xml:space="preserve">acetyl-CoA </w:t>
      </w:r>
      <w:r w:rsidR="00901659" w:rsidRPr="002A6BF2">
        <w:rPr>
          <w:lang w:val="en-US"/>
        </w:rPr>
        <w:t>supply</w:t>
      </w:r>
      <w:r w:rsidR="00DD6281" w:rsidRPr="002A6BF2">
        <w:rPr>
          <w:lang w:val="en-US"/>
        </w:rPr>
        <w:t xml:space="preserve"> </w:t>
      </w:r>
      <w:r w:rsidR="00DD6281" w:rsidRPr="002A6BF2">
        <w:rPr>
          <w:lang w:val="en-US"/>
        </w:rPr>
        <w:fldChar w:fldCharType="begin" w:fldLock="1"/>
      </w:r>
      <w:r w:rsidR="00D40894" w:rsidRPr="002A6BF2">
        <w:rPr>
          <w:lang w:val="en-US"/>
        </w:rPr>
        <w:instrText>ADDIN CSL_CITATION {"citationItems":[{"id":"ITEM-1","itemData":{"DOI":"10.1002/bit.26939","ISSN":"10970290","abstract":"In recent years microorganisms have been engineered towards synthesizing interesting plant polyphenols such as flavonoids and stilbenes from glucose. Currently, the low endogenous supply of malonyl-CoA, indispensable for plant polyphenol synthesis, impedes high product titers. Usually, limited malonyl-CoA availability during plant polyphenol production is avoided by supplementing fatty acid synthesis-inhibiting antibiotics such as cerulenin, which are known to increase the intracellular malonyl-CoA pool as a side effect. Motivated by the goal of microbial polyphenol synthesis being independent of such expensive additives, we used rational metabolic engineering approaches to modulate regulation of fatty acid synthesis and flux into the tricarboxylic acid cycle (TCA cycle) in Corynebacterium glutamicum strains capable of flavonoid and stilbene synthesis. Initial experiments showed that sole overexpression of genes coding for the native malonyl-CoA-forming acetyl-CoA carboxylase is not sufficient for increasing polyphenol production in C. glutamicum. Hence, the intracellular acetyl-CoA availability was also increased by reducing the flux into the TCA cycle through reduction of citrate synthase activity. In defined cultivation medium, the constructed C. glutamicum strains accumulated 24 mg·L −1 (0.088 mM) naringenin or 112 mg·L −1 (0.49 mM) resveratrol from glucose without supplementation of phenylpropanoid precursor molecules or any inhibitors of fatty acid synthesis.","author":[{"dropping-particle":"","family":"Milke","given":"Lars","non-dropping-particle":"","parse-names":false,"suffix":""},{"dropping-particle":"","family":"Ferreira","given":"Patrícia","non-dropping-particle":"","parse-names":false,"suffix":""},{"dropping-particle":"","family":"Kallscheuer","given":"Nicolai","non-dropping-particle":"","parse-names":false,"suffix":""},{"dropping-particle":"","family":"Braga","given":"Adelaide","non-dropping-particle":"","parse-names":false,"suffix":""},{"dropping-particle":"","family":"Vogt","given":"Michael","non-dropping-particle":"","parse-names":false,"suffix":""},{"dropping-particle":"","family":"Kappelmann","given":"Jannick","non-dropping-particle":"","parse-names":false,"suffix":""},{"dropping-particle":"","family":"Oliveira","given":"Joana","non-dropping-particle":"","parse-names":false,"suffix":""},{"dropping-particle":"","family":"Silva","given":"Ana Rita","non-dropping-particle":"","parse-names":false,"suffix":""},{"dropping-particle":"","family":"Rocha","given":"Isabel","non-dropping-particle":"","parse-names":false,"suffix":""},{"dropping-particle":"","family":"Bott","given":"Michael","non-dropping-particle":"","parse-names":false,"suffix":""},{"dropping-particle":"","family":"Noack","given":"Stephan","non-dropping-particle":"","parse-names":false,"suffix":""},{"dropping-particle":"","family":"Faria","given":"Nuno","non-dropping-particle":"","parse-names":false,"suffix":""},{"dropping-particle":"","family":"Marienhagen","given":"Jan","non-dropping-particle":"","parse-names":false,"suffix":""}],"container-title":"Biotechnology and Bioengineering","id":"ITEM-1","issue":"6","issued":{"date-parts":[["2019"]]},"page":"1380-1391","title":"Modulation of the central carbon metabolism of &lt;i&gt;Corynebacterium glutamicum&lt;/i&gt; improves malonyl-CoA availability and increases plant polyphenol synthesis","type":"article-journal","volume":"116"},"uris":["http://www.mendeley.com/documents/?uuid=3f6f1c2b-d76b-40ca-9f43-c854e7a6706e"]}],"mendeley":{"formattedCitation":"(Milke, Ferreira, et al., 2019)","plainTextFormattedCitation":"(Milke, Ferreira, et al., 2019)","previouslyFormattedCitation":"(Milke, Ferreira, et al., 2019)"},"properties":{"noteIndex":0},"schema":"https://github.com/citation-style-language/schema/raw/master/csl-citation.json"}</w:instrText>
      </w:r>
      <w:r w:rsidR="00DD6281" w:rsidRPr="002A6BF2">
        <w:rPr>
          <w:lang w:val="en-US"/>
        </w:rPr>
        <w:fldChar w:fldCharType="separate"/>
      </w:r>
      <w:r w:rsidR="00B255F3" w:rsidRPr="002A6BF2">
        <w:rPr>
          <w:noProof/>
          <w:lang w:val="en-US"/>
        </w:rPr>
        <w:t>(Milke, Ferreira, et al., 2019)</w:t>
      </w:r>
      <w:r w:rsidR="00DD6281" w:rsidRPr="002A6BF2">
        <w:rPr>
          <w:lang w:val="en-US"/>
        </w:rPr>
        <w:fldChar w:fldCharType="end"/>
      </w:r>
      <w:r w:rsidR="00DD6281" w:rsidRPr="002A6BF2">
        <w:rPr>
          <w:lang w:val="en-US"/>
        </w:rPr>
        <w:t xml:space="preserve">. </w:t>
      </w:r>
      <w:r w:rsidR="003E7642" w:rsidRPr="002A6BF2">
        <w:rPr>
          <w:lang w:val="en-US"/>
        </w:rPr>
        <w:t>To</w:t>
      </w:r>
      <w:r w:rsidR="000D554A" w:rsidRPr="002A6BF2">
        <w:rPr>
          <w:lang w:val="en-US"/>
        </w:rPr>
        <w:t xml:space="preserve"> test </w:t>
      </w:r>
      <w:r w:rsidR="00374BE5" w:rsidRPr="002A6BF2">
        <w:rPr>
          <w:lang w:val="en-US"/>
        </w:rPr>
        <w:t>the</w:t>
      </w:r>
      <w:r w:rsidR="000D554A" w:rsidRPr="002A6BF2">
        <w:rPr>
          <w:lang w:val="en-US"/>
        </w:rPr>
        <w:t xml:space="preserve"> effect of </w:t>
      </w:r>
      <w:r w:rsidR="00DD6281" w:rsidRPr="002A6BF2">
        <w:rPr>
          <w:lang w:val="en-US"/>
        </w:rPr>
        <w:t xml:space="preserve">an </w:t>
      </w:r>
      <w:r w:rsidR="009B3724" w:rsidRPr="002A6BF2">
        <w:rPr>
          <w:lang w:val="en-US"/>
        </w:rPr>
        <w:t xml:space="preserve">additional heterologous </w:t>
      </w:r>
      <w:r w:rsidR="000D554A" w:rsidRPr="002A6BF2">
        <w:rPr>
          <w:lang w:val="en-US"/>
        </w:rPr>
        <w:t>ACC on malonyl-CoA availability</w:t>
      </w:r>
      <w:r w:rsidR="005B1AB2" w:rsidRPr="002A6BF2">
        <w:rPr>
          <w:lang w:val="en-US"/>
        </w:rPr>
        <w:t xml:space="preserve"> in </w:t>
      </w:r>
      <w:r w:rsidR="005B1AB2" w:rsidRPr="002A6BF2">
        <w:rPr>
          <w:i/>
          <w:lang w:val="en-US"/>
        </w:rPr>
        <w:t>P. taiwanensis</w:t>
      </w:r>
      <w:r w:rsidR="009B3724" w:rsidRPr="002A6BF2">
        <w:rPr>
          <w:lang w:val="en-US"/>
        </w:rPr>
        <w:t xml:space="preserve">, </w:t>
      </w:r>
      <w:r w:rsidR="000D554A" w:rsidRPr="002A6BF2">
        <w:rPr>
          <w:lang w:val="en-US"/>
        </w:rPr>
        <w:t>t</w:t>
      </w:r>
      <w:r w:rsidRPr="002A6BF2">
        <w:rPr>
          <w:lang w:val="en-US"/>
        </w:rPr>
        <w:t xml:space="preserve">he dimeric </w:t>
      </w:r>
      <w:r w:rsidR="00DD6281" w:rsidRPr="002A6BF2">
        <w:rPr>
          <w:lang w:val="en-US"/>
        </w:rPr>
        <w:t xml:space="preserve">ACC from </w:t>
      </w:r>
      <w:r w:rsidR="00DD6281" w:rsidRPr="002A6BF2">
        <w:rPr>
          <w:i/>
          <w:lang w:val="en-US"/>
        </w:rPr>
        <w:t>C. glutamicum</w:t>
      </w:r>
      <w:r w:rsidR="00DD6281" w:rsidRPr="002A6BF2">
        <w:rPr>
          <w:lang w:val="en-US"/>
        </w:rPr>
        <w:t xml:space="preserve"> (</w:t>
      </w:r>
      <w:r w:rsidRPr="002A6BF2">
        <w:rPr>
          <w:i/>
          <w:lang w:val="en-US"/>
        </w:rPr>
        <w:t>Cg</w:t>
      </w:r>
      <w:r w:rsidR="000D554A" w:rsidRPr="002A6BF2">
        <w:rPr>
          <w:i/>
          <w:lang w:val="en-US"/>
        </w:rPr>
        <w:t>_a</w:t>
      </w:r>
      <w:r w:rsidRPr="002A6BF2">
        <w:rPr>
          <w:i/>
          <w:lang w:val="en-US"/>
        </w:rPr>
        <w:t>ccBC-accD1</w:t>
      </w:r>
      <w:r w:rsidR="00BA7FDC" w:rsidRPr="002A6BF2">
        <w:rPr>
          <w:lang w:val="en-US"/>
        </w:rPr>
        <w:t>; CgACC</w:t>
      </w:r>
      <w:r w:rsidR="00DD6281" w:rsidRPr="002A6BF2">
        <w:rPr>
          <w:lang w:val="en-US"/>
        </w:rPr>
        <w:t>)</w:t>
      </w:r>
      <w:r w:rsidRPr="002A6BF2">
        <w:rPr>
          <w:lang w:val="en-US"/>
        </w:rPr>
        <w:t xml:space="preserve"> </w:t>
      </w:r>
      <w:r w:rsidR="002B5EC5" w:rsidRPr="002A6BF2">
        <w:rPr>
          <w:lang w:val="en-US"/>
        </w:rPr>
        <w:t>was episomally</w:t>
      </w:r>
      <w:r w:rsidRPr="002A6BF2">
        <w:rPr>
          <w:lang w:val="en-US"/>
        </w:rPr>
        <w:t xml:space="preserve"> expressed </w:t>
      </w:r>
      <w:r w:rsidR="002B5EC5" w:rsidRPr="002A6BF2">
        <w:rPr>
          <w:lang w:val="en-US"/>
        </w:rPr>
        <w:t xml:space="preserve">using </w:t>
      </w:r>
      <w:r w:rsidRPr="002A6BF2">
        <w:rPr>
          <w:lang w:val="en-US"/>
        </w:rPr>
        <w:t xml:space="preserve">plasmid pBT’T in </w:t>
      </w:r>
      <w:r w:rsidR="002B5EC5" w:rsidRPr="002A6BF2">
        <w:rPr>
          <w:lang w:val="en-US"/>
        </w:rPr>
        <w:t>pinosylvin-</w:t>
      </w:r>
      <w:r w:rsidRPr="002A6BF2">
        <w:rPr>
          <w:lang w:val="en-US"/>
        </w:rPr>
        <w:t>producing strains</w:t>
      </w:r>
      <w:r w:rsidR="000D554A" w:rsidRPr="002A6BF2">
        <w:rPr>
          <w:lang w:val="en-US"/>
        </w:rPr>
        <w:t xml:space="preserve"> with modified acetyl-CoA node</w:t>
      </w:r>
      <w:r w:rsidR="00C93478" w:rsidRPr="002A6BF2">
        <w:rPr>
          <w:lang w:val="en-US"/>
        </w:rPr>
        <w:t xml:space="preserve"> to identify </w:t>
      </w:r>
      <w:r w:rsidR="005B1AB2" w:rsidRPr="002A6BF2">
        <w:rPr>
          <w:lang w:val="en-US"/>
        </w:rPr>
        <w:t xml:space="preserve">possible </w:t>
      </w:r>
      <w:r w:rsidR="00C93478" w:rsidRPr="002A6BF2">
        <w:rPr>
          <w:lang w:val="en-US"/>
        </w:rPr>
        <w:t>synergistic effects</w:t>
      </w:r>
      <w:r w:rsidR="000D554A" w:rsidRPr="002A6BF2">
        <w:rPr>
          <w:lang w:val="en-US"/>
        </w:rPr>
        <w:t>.</w:t>
      </w:r>
      <w:r w:rsidR="009B3724" w:rsidRPr="002A6BF2">
        <w:rPr>
          <w:lang w:val="en-US"/>
        </w:rPr>
        <w:t xml:space="preserve"> </w:t>
      </w:r>
    </w:p>
    <w:p w14:paraId="0BA91ACD" w14:textId="054CA3D8" w:rsidR="00B219BD" w:rsidRPr="002A6BF2" w:rsidRDefault="008F462D" w:rsidP="00B84A00">
      <w:pPr>
        <w:spacing w:line="276" w:lineRule="auto"/>
        <w:jc w:val="both"/>
        <w:rPr>
          <w:lang w:val="en-US"/>
        </w:rPr>
      </w:pPr>
      <w:r w:rsidRPr="002A6BF2">
        <w:rPr>
          <w:lang w:val="en-US"/>
        </w:rPr>
        <w:lastRenderedPageBreak/>
        <w:t xml:space="preserve">Pinosylvin </w:t>
      </w:r>
      <w:r w:rsidR="00203D80" w:rsidRPr="002A6BF2">
        <w:rPr>
          <w:lang w:val="en-US"/>
        </w:rPr>
        <w:t xml:space="preserve">production with </w:t>
      </w:r>
      <w:r w:rsidR="00203D80" w:rsidRPr="002A6BF2">
        <w:rPr>
          <w:i/>
          <w:iCs/>
          <w:lang w:val="en-US"/>
        </w:rPr>
        <w:t xml:space="preserve">P. taiwanensis </w:t>
      </w:r>
      <w:r w:rsidR="00D95DDB" w:rsidRPr="002A6BF2">
        <w:rPr>
          <w:lang w:val="en-US"/>
        </w:rPr>
        <w:t xml:space="preserve">GRC3 </w:t>
      </w:r>
      <w:r w:rsidR="00203D80" w:rsidRPr="002A6BF2">
        <w:rPr>
          <w:lang w:val="en-US"/>
        </w:rPr>
        <w:t>PHE</w:t>
      </w:r>
      <w:r w:rsidR="00203D80" w:rsidRPr="002A6BF2">
        <w:rPr>
          <w:i/>
          <w:iCs/>
          <w:lang w:val="en-US"/>
        </w:rPr>
        <w:t xml:space="preserve"> </w:t>
      </w:r>
      <w:r w:rsidR="00203D80" w:rsidRPr="002A6BF2">
        <w:rPr>
          <w:lang w:val="en-US"/>
        </w:rPr>
        <w:t xml:space="preserve">strains modified around their </w:t>
      </w:r>
      <w:r w:rsidRPr="002A6BF2">
        <w:rPr>
          <w:lang w:val="en-US"/>
        </w:rPr>
        <w:t>acetyl-CoA node</w:t>
      </w:r>
      <w:r w:rsidR="004569F2" w:rsidRPr="002A6BF2">
        <w:rPr>
          <w:lang w:val="en-US"/>
        </w:rPr>
        <w:t xml:space="preserve"> </w:t>
      </w:r>
      <w:r w:rsidRPr="002A6BF2">
        <w:rPr>
          <w:lang w:val="en-US"/>
        </w:rPr>
        <w:t>resulted in var</w:t>
      </w:r>
      <w:r w:rsidR="000A63E6" w:rsidRPr="002A6BF2">
        <w:rPr>
          <w:lang w:val="en-US"/>
        </w:rPr>
        <w:t>ying</w:t>
      </w:r>
      <w:r w:rsidRPr="002A6BF2">
        <w:rPr>
          <w:lang w:val="en-US"/>
        </w:rPr>
        <w:t xml:space="preserve"> </w:t>
      </w:r>
      <w:r w:rsidR="0089257A" w:rsidRPr="002A6BF2">
        <w:rPr>
          <w:lang w:val="en-US"/>
        </w:rPr>
        <w:t xml:space="preserve">growth (Supplementary </w:t>
      </w:r>
      <w:r w:rsidR="00325010" w:rsidRPr="002A6BF2">
        <w:rPr>
          <w:lang w:val="en-US"/>
        </w:rPr>
        <w:t>Fig.</w:t>
      </w:r>
      <w:r w:rsidR="0089257A" w:rsidRPr="002A6BF2">
        <w:rPr>
          <w:lang w:val="en-US"/>
        </w:rPr>
        <w:t xml:space="preserve"> S1</w:t>
      </w:r>
      <w:r w:rsidR="00965039" w:rsidRPr="002A6BF2">
        <w:rPr>
          <w:lang w:val="en-US"/>
        </w:rPr>
        <w:t>1</w:t>
      </w:r>
      <w:r w:rsidR="0089257A" w:rsidRPr="002A6BF2">
        <w:rPr>
          <w:lang w:val="en-US"/>
        </w:rPr>
        <w:t xml:space="preserve">) and </w:t>
      </w:r>
      <w:r w:rsidRPr="002A6BF2">
        <w:rPr>
          <w:lang w:val="en-US"/>
        </w:rPr>
        <w:t xml:space="preserve">titers when compared to </w:t>
      </w:r>
      <w:r w:rsidR="00FB775C" w:rsidRPr="002A6BF2">
        <w:rPr>
          <w:lang w:val="en-US"/>
        </w:rPr>
        <w:t xml:space="preserve">the </w:t>
      </w:r>
      <w:r w:rsidRPr="002A6BF2">
        <w:rPr>
          <w:lang w:val="en-US"/>
        </w:rPr>
        <w:t>respective control</w:t>
      </w:r>
      <w:r w:rsidR="00AD37D2" w:rsidRPr="002A6BF2">
        <w:rPr>
          <w:lang w:val="en-US"/>
        </w:rPr>
        <w:t xml:space="preserve"> (</w:t>
      </w:r>
      <w:r w:rsidR="00325010" w:rsidRPr="002A6BF2">
        <w:rPr>
          <w:lang w:val="en-US"/>
        </w:rPr>
        <w:t>Fig.</w:t>
      </w:r>
      <w:r w:rsidR="00AD37D2" w:rsidRPr="002A6BF2">
        <w:rPr>
          <w:lang w:val="en-US"/>
        </w:rPr>
        <w:t xml:space="preserve"> 5</w:t>
      </w:r>
      <w:r w:rsidR="0089257A" w:rsidRPr="002A6BF2">
        <w:rPr>
          <w:lang w:val="en-US"/>
        </w:rPr>
        <w:t xml:space="preserve">). </w:t>
      </w:r>
      <w:r w:rsidR="00A4103D" w:rsidRPr="002A6BF2">
        <w:rPr>
          <w:lang w:val="en-US"/>
        </w:rPr>
        <w:t>Without the heterologous expression of</w:t>
      </w:r>
      <w:r w:rsidR="00203D80" w:rsidRPr="002A6BF2">
        <w:rPr>
          <w:lang w:val="en-US"/>
        </w:rPr>
        <w:t xml:space="preserve"> </w:t>
      </w:r>
      <w:r w:rsidR="00E67174" w:rsidRPr="002A6BF2">
        <w:rPr>
          <w:lang w:val="en-US"/>
        </w:rPr>
        <w:t>Cg</w:t>
      </w:r>
      <w:r w:rsidR="00203D80" w:rsidRPr="002A6BF2">
        <w:rPr>
          <w:lang w:val="en-US"/>
        </w:rPr>
        <w:t xml:space="preserve">ACC, none of the modifications resulted in increased titers compared to </w:t>
      </w:r>
      <w:r w:rsidRPr="002A6BF2">
        <w:rPr>
          <w:lang w:val="en-US"/>
        </w:rPr>
        <w:t xml:space="preserve">the </w:t>
      </w:r>
      <w:r w:rsidR="00A4103D" w:rsidRPr="002A6BF2">
        <w:rPr>
          <w:lang w:val="en-US"/>
        </w:rPr>
        <w:t xml:space="preserve">GRC3 </w:t>
      </w:r>
      <w:r w:rsidR="00FB13A8" w:rsidRPr="002A6BF2">
        <w:rPr>
          <w:lang w:val="en-US"/>
        </w:rPr>
        <w:t>PHE</w:t>
      </w:r>
      <w:r w:rsidR="00A4103D" w:rsidRPr="002A6BF2">
        <w:rPr>
          <w:lang w:val="en-US"/>
        </w:rPr>
        <w:t xml:space="preserve"> </w:t>
      </w:r>
      <w:r w:rsidR="00FB13A8" w:rsidRPr="002A6BF2">
        <w:rPr>
          <w:lang w:val="en-US"/>
        </w:rPr>
        <w:t>control</w:t>
      </w:r>
      <w:r w:rsidR="00A4103D" w:rsidRPr="002A6BF2">
        <w:rPr>
          <w:lang w:val="en-US"/>
        </w:rPr>
        <w:t xml:space="preserve"> (</w:t>
      </w:r>
      <w:r w:rsidR="00325010" w:rsidRPr="002A6BF2">
        <w:rPr>
          <w:lang w:val="en-US"/>
        </w:rPr>
        <w:t>Fig.</w:t>
      </w:r>
      <w:r w:rsidR="00A4103D" w:rsidRPr="002A6BF2">
        <w:rPr>
          <w:lang w:val="en-US"/>
        </w:rPr>
        <w:t xml:space="preserve"> 5A)</w:t>
      </w:r>
      <w:r w:rsidR="00334A4E" w:rsidRPr="002A6BF2">
        <w:rPr>
          <w:lang w:val="en-US"/>
        </w:rPr>
        <w:t>.</w:t>
      </w:r>
      <w:r w:rsidR="00203D80" w:rsidRPr="002A6BF2">
        <w:rPr>
          <w:lang w:val="en-US"/>
        </w:rPr>
        <w:t xml:space="preserve"> </w:t>
      </w:r>
      <w:r w:rsidR="00B219BD" w:rsidRPr="002A6BF2">
        <w:rPr>
          <w:lang w:val="en-US"/>
        </w:rPr>
        <w:t xml:space="preserve">Sometimes </w:t>
      </w:r>
      <w:r w:rsidR="008E743D" w:rsidRPr="002A6BF2">
        <w:rPr>
          <w:lang w:val="en-US"/>
        </w:rPr>
        <w:t>contrary tendencies in titers were</w:t>
      </w:r>
      <w:r w:rsidR="00B219BD" w:rsidRPr="002A6BF2">
        <w:rPr>
          <w:lang w:val="en-US"/>
        </w:rPr>
        <w:t xml:space="preserve"> observed</w:t>
      </w:r>
      <w:r w:rsidR="008E743D" w:rsidRPr="002A6BF2">
        <w:rPr>
          <w:lang w:val="en-US"/>
        </w:rPr>
        <w:t xml:space="preserve"> between those strains with and without pBT’T-</w:t>
      </w:r>
      <w:r w:rsidR="008E743D" w:rsidRPr="002A6BF2">
        <w:rPr>
          <w:i/>
          <w:iCs/>
          <w:lang w:val="en-US"/>
        </w:rPr>
        <w:t>CgACC</w:t>
      </w:r>
      <w:r w:rsidR="00B219BD" w:rsidRPr="002A6BF2">
        <w:rPr>
          <w:lang w:val="en-US"/>
        </w:rPr>
        <w:t>, as for the</w:t>
      </w:r>
      <w:r w:rsidR="00700EB2" w:rsidRPr="002A6BF2">
        <w:rPr>
          <w:lang w:val="en-US"/>
        </w:rPr>
        <w:t xml:space="preserve"> strain with</w:t>
      </w:r>
      <w:r w:rsidR="00B219BD" w:rsidRPr="002A6BF2">
        <w:rPr>
          <w:lang w:val="en-US"/>
        </w:rPr>
        <w:t xml:space="preserve"> </w:t>
      </w:r>
      <w:r w:rsidR="00B219BD" w:rsidRPr="002A6BF2">
        <w:rPr>
          <w:i/>
          <w:lang w:val="en-US"/>
        </w:rPr>
        <w:t>P</w:t>
      </w:r>
      <w:r w:rsidR="00B219BD" w:rsidRPr="002A6BF2">
        <w:rPr>
          <w:i/>
          <w:vertAlign w:val="subscript"/>
          <w:lang w:val="en-US"/>
        </w:rPr>
        <w:t>gltA</w:t>
      </w:r>
      <w:r w:rsidR="00B219BD" w:rsidRPr="002A6BF2">
        <w:rPr>
          <w:lang w:val="en-US"/>
        </w:rPr>
        <w:t xml:space="preserve"> promoter exchange </w:t>
      </w:r>
      <w:r w:rsidR="008E743D" w:rsidRPr="002A6BF2">
        <w:rPr>
          <w:lang w:val="en-US"/>
        </w:rPr>
        <w:t>(Fig. 5A, B)</w:t>
      </w:r>
      <w:r w:rsidR="00B219BD" w:rsidRPr="002A6BF2">
        <w:rPr>
          <w:lang w:val="en-US"/>
        </w:rPr>
        <w:t xml:space="preserve">. This is likely related to the complex (and partly unknown) regulation of acetyl-CoA and malonyl-CoA homeostasis in primary metabolism of </w:t>
      </w:r>
      <w:r w:rsidR="00B219BD" w:rsidRPr="002A6BF2">
        <w:rPr>
          <w:i/>
          <w:lang w:val="en-US"/>
        </w:rPr>
        <w:t>P. taiwanensis</w:t>
      </w:r>
      <w:r w:rsidR="00B219BD" w:rsidRPr="002A6BF2">
        <w:rPr>
          <w:lang w:val="en-US"/>
        </w:rPr>
        <w:t xml:space="preserve">. We hypothesize that it might also be influenced by the drain of erytrose-4-phosphate and phosphoenolpyruvate into the shikimate pathway in the used phenylalanine platform strain in these experiments. </w:t>
      </w:r>
      <w:r w:rsidR="00E8217D" w:rsidRPr="002A6BF2">
        <w:rPr>
          <w:lang w:val="en-US"/>
        </w:rPr>
        <w:t>Here, a</w:t>
      </w:r>
      <w:r w:rsidR="00B219BD" w:rsidRPr="002A6BF2">
        <w:rPr>
          <w:lang w:val="en-US"/>
        </w:rPr>
        <w:t>vailability of malonyl-CoA, and not cinnamate, is the major bottleneck.</w:t>
      </w:r>
    </w:p>
    <w:p w14:paraId="3ECC97AB" w14:textId="4784425D" w:rsidR="00700EB2" w:rsidRPr="002A6BF2" w:rsidRDefault="00D31B6C" w:rsidP="00B84A00">
      <w:pPr>
        <w:spacing w:line="276" w:lineRule="auto"/>
        <w:jc w:val="center"/>
        <w:rPr>
          <w:lang w:val="en-US"/>
        </w:rPr>
      </w:pPr>
      <w:r w:rsidRPr="002A6BF2">
        <w:rPr>
          <w:noProof/>
          <w:lang w:eastAsia="de-DE"/>
        </w:rPr>
        <w:lastRenderedPageBreak/>
        <w:drawing>
          <wp:inline distT="0" distB="0" distL="0" distR="0" wp14:anchorId="7A582274" wp14:editId="350E971B">
            <wp:extent cx="5760720" cy="478866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788669"/>
                    </a:xfrm>
                    <a:prstGeom prst="rect">
                      <a:avLst/>
                    </a:prstGeom>
                    <a:noFill/>
                    <a:ln>
                      <a:noFill/>
                    </a:ln>
                  </pic:spPr>
                </pic:pic>
              </a:graphicData>
            </a:graphic>
          </wp:inline>
        </w:drawing>
      </w:r>
    </w:p>
    <w:p w14:paraId="49E355A2" w14:textId="6548CAF8" w:rsidR="00700EB2" w:rsidRPr="002A6BF2" w:rsidRDefault="00700EB2" w:rsidP="00B84A00">
      <w:pPr>
        <w:spacing w:line="276" w:lineRule="auto"/>
        <w:jc w:val="both"/>
        <w:rPr>
          <w:lang w:val="en-US"/>
        </w:rPr>
      </w:pPr>
      <w:r w:rsidRPr="002A6BF2">
        <w:rPr>
          <w:lang w:val="en-US"/>
        </w:rPr>
        <w:t xml:space="preserve">Fig. 5 Pinosylvin titers of </w:t>
      </w:r>
      <w:r w:rsidRPr="002A6BF2">
        <w:rPr>
          <w:i/>
          <w:iCs/>
          <w:lang w:val="en-US"/>
        </w:rPr>
        <w:t xml:space="preserve">P. taiwanensis </w:t>
      </w:r>
      <w:r w:rsidRPr="002A6BF2">
        <w:rPr>
          <w:lang w:val="en-US"/>
        </w:rPr>
        <w:t xml:space="preserve">GRC3 PHE </w:t>
      </w:r>
      <w:r w:rsidRPr="002A6BF2">
        <w:rPr>
          <w:rFonts w:cstheme="minorHAnsi"/>
          <w:i/>
          <w:color w:val="000000" w:themeColor="text1"/>
          <w:lang w:val="en-US"/>
        </w:rPr>
        <w:t>attTn7::P</w:t>
      </w:r>
      <w:r w:rsidRPr="002A6BF2">
        <w:rPr>
          <w:rFonts w:cstheme="minorHAnsi"/>
          <w:i/>
          <w:color w:val="000000" w:themeColor="text1"/>
          <w:vertAlign w:val="subscript"/>
          <w:lang w:val="en-US"/>
        </w:rPr>
        <w:t>14g</w:t>
      </w:r>
      <w:r w:rsidRPr="002A6BF2">
        <w:rPr>
          <w:rFonts w:cstheme="minorHAnsi"/>
          <w:i/>
          <w:color w:val="000000" w:themeColor="text1"/>
          <w:lang w:val="en-US"/>
        </w:rPr>
        <w:t>-his.AhSTS-Sc4CL</w:t>
      </w:r>
      <w:r w:rsidRPr="002A6BF2">
        <w:rPr>
          <w:rFonts w:cstheme="minorHAnsi"/>
          <w:i/>
          <w:color w:val="000000" w:themeColor="text1"/>
          <w:vertAlign w:val="superscript"/>
          <w:lang w:val="en-US"/>
        </w:rPr>
        <w:t>A294G</w:t>
      </w:r>
      <w:r w:rsidRPr="002A6BF2">
        <w:rPr>
          <w:rFonts w:cstheme="minorHAnsi"/>
          <w:i/>
          <w:color w:val="000000" w:themeColor="text1"/>
          <w:lang w:val="en-US"/>
        </w:rPr>
        <w:t>-</w:t>
      </w:r>
      <w:r w:rsidRPr="002A6BF2">
        <w:rPr>
          <w:rFonts w:cstheme="minorHAnsi"/>
          <w:i/>
          <w:iCs/>
          <w:color w:val="000000" w:themeColor="text1"/>
          <w:lang w:val="en-US"/>
        </w:rPr>
        <w:t>AtPAL2</w:t>
      </w:r>
      <w:r w:rsidRPr="002A6BF2">
        <w:rPr>
          <w:rFonts w:cstheme="minorHAnsi"/>
          <w:iCs/>
          <w:color w:val="000000" w:themeColor="text1"/>
          <w:lang w:val="en-US"/>
        </w:rPr>
        <w:t xml:space="preserve"> </w:t>
      </w:r>
      <w:r w:rsidRPr="002A6BF2">
        <w:rPr>
          <w:lang w:val="en-US"/>
        </w:rPr>
        <w:t>with modifications concerning the acetyl-CoA node (A) and with additional plasmid pBT’T-</w:t>
      </w:r>
      <w:r w:rsidRPr="002A6BF2">
        <w:rPr>
          <w:i/>
          <w:lang w:val="en-US"/>
        </w:rPr>
        <w:t>CgACC</w:t>
      </w:r>
      <w:r w:rsidRPr="002A6BF2">
        <w:rPr>
          <w:lang w:val="en-US"/>
        </w:rPr>
        <w:t xml:space="preserve"> (B). Cultivation in MSM 30 mM glucose </w:t>
      </w:r>
      <w:r w:rsidR="003B3FAF" w:rsidRPr="002A6BF2">
        <w:rPr>
          <w:lang w:val="en-US"/>
        </w:rPr>
        <w:t xml:space="preserve">with 1x buffer </w:t>
      </w:r>
      <w:r w:rsidRPr="002A6BF2">
        <w:rPr>
          <w:lang w:val="en-US"/>
        </w:rPr>
        <w:t>in 1.5 mL square-well System Duetz plate, initial OD</w:t>
      </w:r>
      <w:r w:rsidRPr="002A6BF2">
        <w:rPr>
          <w:vertAlign w:val="subscript"/>
          <w:lang w:val="en-US"/>
        </w:rPr>
        <w:t>600</w:t>
      </w:r>
      <w:r w:rsidRPr="002A6BF2">
        <w:rPr>
          <w:lang w:val="en-US"/>
        </w:rPr>
        <w:t xml:space="preserve"> was 2 in A and 0.4 in B. Error bars represent the standard error of the mean (n=2) and significance (p&lt;0.05) is indicated by * (**, p</w:t>
      </w:r>
      <w:r w:rsidRPr="002A6BF2">
        <w:rPr>
          <w:rFonts w:cstheme="minorHAnsi"/>
          <w:lang w:val="en-US"/>
        </w:rPr>
        <w:t>≤</w:t>
      </w:r>
      <w:r w:rsidRPr="002A6BF2">
        <w:rPr>
          <w:lang w:val="en-US"/>
        </w:rPr>
        <w:t>0.01; ****, p</w:t>
      </w:r>
      <w:r w:rsidRPr="002A6BF2">
        <w:rPr>
          <w:rFonts w:cstheme="minorHAnsi"/>
          <w:lang w:val="en-US"/>
        </w:rPr>
        <w:t>≤</w:t>
      </w:r>
      <w:r w:rsidRPr="002A6BF2">
        <w:rPr>
          <w:lang w:val="en-US"/>
        </w:rPr>
        <w:t>0.0001) from two-way ANOVA of t2. Abbreviation: ns, not significant; ND, not determined.</w:t>
      </w:r>
    </w:p>
    <w:p w14:paraId="5B6B79DE" w14:textId="3C0CA5A7" w:rsidR="00E07F08" w:rsidRPr="002A6BF2" w:rsidRDefault="00203D80" w:rsidP="00B84A00">
      <w:pPr>
        <w:spacing w:line="276" w:lineRule="auto"/>
        <w:jc w:val="both"/>
        <w:rPr>
          <w:lang w:val="en-US"/>
        </w:rPr>
      </w:pPr>
      <w:r w:rsidRPr="002A6BF2">
        <w:rPr>
          <w:lang w:val="en-US"/>
        </w:rPr>
        <w:t xml:space="preserve">The main improvements in pinosylvin production were achieved by </w:t>
      </w:r>
      <w:r w:rsidR="00E07F08" w:rsidRPr="002A6BF2">
        <w:rPr>
          <w:lang w:val="en-US"/>
        </w:rPr>
        <w:t xml:space="preserve">plasmid-based </w:t>
      </w:r>
      <w:r w:rsidRPr="002A6BF2">
        <w:rPr>
          <w:lang w:val="en-US"/>
        </w:rPr>
        <w:t>over</w:t>
      </w:r>
      <w:r w:rsidR="00E07F08" w:rsidRPr="002A6BF2">
        <w:rPr>
          <w:lang w:val="en-US"/>
        </w:rPr>
        <w:t xml:space="preserve">expression of ACC from </w:t>
      </w:r>
      <w:r w:rsidR="00E07F08" w:rsidRPr="002A6BF2">
        <w:rPr>
          <w:i/>
          <w:iCs/>
          <w:lang w:val="en-US"/>
        </w:rPr>
        <w:t>C.</w:t>
      </w:r>
      <w:r w:rsidR="008C490C" w:rsidRPr="002A6BF2">
        <w:rPr>
          <w:i/>
          <w:iCs/>
          <w:lang w:val="en-US"/>
        </w:rPr>
        <w:t> </w:t>
      </w:r>
      <w:r w:rsidR="00E07F08" w:rsidRPr="002A6BF2">
        <w:rPr>
          <w:i/>
          <w:iCs/>
          <w:lang w:val="en-US"/>
        </w:rPr>
        <w:t>glutamicum</w:t>
      </w:r>
      <w:r w:rsidR="00496BA7" w:rsidRPr="002A6BF2">
        <w:rPr>
          <w:iCs/>
          <w:lang w:val="en-US"/>
        </w:rPr>
        <w:t xml:space="preserve"> </w:t>
      </w:r>
      <w:r w:rsidR="00D73280" w:rsidRPr="002A6BF2">
        <w:rPr>
          <w:iCs/>
          <w:lang w:val="en-US"/>
        </w:rPr>
        <w:t>as it was the case</w:t>
      </w:r>
      <w:r w:rsidR="0099012C" w:rsidRPr="002A6BF2">
        <w:rPr>
          <w:iCs/>
          <w:lang w:val="en-US"/>
        </w:rPr>
        <w:t xml:space="preserve"> in previous studies </w:t>
      </w:r>
      <w:r w:rsidR="00496BA7" w:rsidRPr="002A6BF2">
        <w:rPr>
          <w:iCs/>
          <w:lang w:val="en-US"/>
        </w:rPr>
        <w:fldChar w:fldCharType="begin" w:fldLock="1"/>
      </w:r>
      <w:r w:rsidR="00AE0043" w:rsidRPr="002A6BF2">
        <w:rPr>
          <w:iCs/>
          <w:lang w:val="en-US"/>
        </w:rPr>
        <w:instrText>ADDIN CSL_CITATION {"citationItems":[{"id":"ITEM-1","itemData":{"DOI":"10.1007/s00253-005-1916-3","ISSN":"01757598","abstract":"For the fermentative production of plant-specific flavanones (naringenin, pinocembrin) by Escherichia coli, a plasmid was constructed which carried an artificial biosynthetic gene cluster, including PAL encoding a phenylalanine ammonia-lyase from a yeast, ScCCL encoding a cinnamate/coumarate:CoA ligase from the actinomycete Streptomyces coelicolor A3(2), CHS encoding a chalcone synthase from a licorice plant and CHI encoding a chalcone isomerase from the Pueraria plant. The recombinant E. coli cells produced (2S)-naringenin from tyrosine and (2S)-pinocembrin from phenylalanine. When the two subunit genes of acetyl-CoA carboxylase from Corynebacterium glutamicum were expressed under the control of the T7 promoter and the ribosome-binding sequence in the recombinant E. coli cells, the flavanone yields were greatly increased, probably because enhanced expression of acetyl-CoA carboxylase increased a pool of malonyl-CoA that was available for flavanone synthesis. Under cultural conditions where E. coli at a cell density of 50 g/l was incubated in the presence of 3 mM tyrosine or phenylalanine, the yields of naringenin and pinocembrin reached about 60 mg/l. The fermentative production of flavanones in E. coli is the first step in the construction of a library of flavonoid compounds and un-natural flavonoids in bacteria. © Springer-Verlag 2005.","author":[{"dropping-particle":"","family":"Miyahisa","given":"Ikuo","non-dropping-particle":"","parse-names":false,"suffix":""},{"dropping-particle":"","family":"Kaneko","given":"Masafumi","non-dropping-particle":"","parse-names":false,"suffix":""},{"dropping-particle":"","family":"Funa","given":"Nobutaka","non-dropping-particle":"","parse-names":false,"suffix":""},{"dropping-particle":"","family":"Kawasaki","given":"Hisashi","non-dropping-particle":"","parse-names":false,"suffix":""},{"dropping-particle":"","family":"Kojima","given":"Hiroyuki","non-dropping-particle":"","parse-names":false,"suffix":""},{"dropping-particle":"","family":"Ohnishi","given":"Yasuo","non-dropping-particle":"","parse-names":false,"suffix":""},{"dropping-particle":"","family":"Horinouchi","given":"Sueharu","non-dropping-particle":"","parse-names":false,"suffix":""}],"container-title":"Applied Microbiology and Biotechnology","id":"ITEM-1","issue":"4","issued":{"date-parts":[["2005"]]},"page":"498-504","title":"Efficient production of (2&lt;i&gt;S&lt;/i&gt;)-flavanones by &lt;i&gt;Escherichia coli&lt;/i&gt; containing an artificial biosynthetic gene cluster","type":"article-journal","volume":"68"},"uris":["http://www.mendeley.com/documents/?uuid=7349a461-8a2c-41b5-a505-0da0f24e8781"]},{"id":"ITEM-2","itemData":{"DOI":"10.1016/j.ymben.2009.01.005","ISSN":"10967176","abstract":"Escherichia coli only maintains a small amount of cellular malonyl-CoA, impeding its utility for overproducing natural products such as polyketides and flavonoids. Here, we report the use of various metabolic engineering strategies to redirect the carbon flux inside E. coli to pathways responsible for the generation of malonyl-CoA. Overexpression of acetyl-CoA carboxylase (Acc) resulted in 3-fold increase in cellular malonyl-CoA concentration. More importantly, overexpression of Acc showed a synergistic effect with increased acetyl-CoA availability, which was achieved by deletion of competing pathways leading to the byproducts acetate and ethanol as well as overexpression of an acetate assimilation enzyme. These engineering efforts led to the creation of an E. coli strain with 15-fold elevated cellular malonyl-CoA level. To demonstrate its utility, this engineered E. coli strain was used to produce an important polyketide, phloroglucinol, and showed near 4-fold higher titer compared with wild-type E. coli, despite the toxicity of phloroglucinol to cell growth. This engineered E. coli strain with elevated cellular malonyl-CoA level should be highly useful for improved production of important natural products where the cellular malonyl-CoA level is rate-limiting. © 2009 Elsevier Inc. All rights reserved.","author":[{"dropping-particle":"","family":"Zha","given":"Wenjuan","non-dropping-particle":"","parse-names":false,"suffix":""},{"dropping-particle":"","family":"Rubin-Pitel","given":"Sheryl B.","non-dropping-particle":"","parse-names":false,"suffix":""},{"dropping-particle":"","family":"Shao","given":"Zengyi","non-dropping-particle":"","parse-names":false,"suffix":""},{"dropping-particle":"","family":"Zhao","given":"Huimin","non-dropping-particle":"","parse-names":false,"suffix":""}],"container-title":"Metabolic Engineering","id":"ITEM-2","issue":"3","issued":{"date-parts":[["2009"]]},"page":"192-198","title":"Improving cellular malonyl-CoA level in &lt;i&gt;Escherichia coli&lt;/i&gt; via metabolic engineering","type":"article-journal","volume":"11"},"uris":["http://www.mendeley.com/documents/?uuid=f4560e46-8044-45e0-8e7c-95fcf0fd8ca4"]},{"id":"ITEM-3","itemData":{"DOI":"10.1021/acs.jafc.8b05014","ISSN":"15205118","abstract":"Resveratrol, a plant-derived polyphenolic compound with various health activities, is widely used in nutraceutical and food additives. Herein, combinatorial optimization of resveratrol biosynthetic pathway and intracellular environment of E. coli was carried out. By screening pathway genes from various species and exploring their expression pattern, we initially constructed resveratrol-producing strains. Further targeting at availability of malonyl-CoA through expressing ACC of Corynebacterium glutamicum and antisense inhibiting native fabD significantly increased resveratrol biosynthesis. Transport engineering for resveratrol secretion and molecular chaperones helping for folding heterologous enzymes were employed to improve the intracellular environments in remarkable degrees. By introducing PcTAL of Phanerochaete chrysosporium and tuning expression model of PcTAL, At4CL, and VvSTS, an engineered E. coli produced 57.77 mg/L of resveratrol from l-tyrosine. After integrating the above strategies, resveratrol titer reached to 238.71 mg/L from l-tyrosine. The combinatorial optimization in this study provides a promising strategy to produce valuable natural products in heterologous expression systems.","author":[{"dropping-particle":"","family":"Zhao","given":"Ying","non-dropping-particle":"","parse-names":false,"suffix":""},{"dropping-particle":"","family":"Wu","given":"Bi Han","non-dropping-particle":"","parse-names":false,"suffix":""},{"dropping-particle":"","family":"Liu","given":"Zhen Ning","non-dropping-particle":"","parse-names":false,"suffix":""},{"dropping-particle":"","family":"Qiao","given":"Jianjun","non-dropping-particle":"","parse-names":false,"suffix":""},{"dropping-particle":"","family":"Zhao","given":"Guang Rong","non-dropping-particle":"","parse-names":false,"suffix":""}],"container-title":"Journal of Agricultural and Food Chemistry","genre":"research-article","id":"ITEM-3","issue":"51","issued":{"date-parts":[["2018"]]},"page":"13444-13453","publisher":"American Chemical Society","title":"Combinatorial Optimization of Resveratrol Production in Engineered &lt;i&gt;E. coli&lt;/i&gt;","type":"article-journal","volume":"66"},"uris":["http://www.mendeley.com/documents/?uuid=214eeadc-4ef1-48ef-bd81-8e4255fa8e0c"]}],"mendeley":{"formattedCitation":"(Miyahisa et al., 2005; Zha et al., 2009; Zhao et al., 2018)","plainTextFormattedCitation":"(Miyahisa et al., 2005; Zha et al., 2009; Zhao et al., 2018)","previouslyFormattedCitation":"(Miyahisa et al., 2005; Zha et al., 2009; Zhao et al., 2018)"},"properties":{"noteIndex":0},"schema":"https://github.com/citation-style-language/schema/raw/master/csl-citation.json"}</w:instrText>
      </w:r>
      <w:r w:rsidR="00496BA7" w:rsidRPr="002A6BF2">
        <w:rPr>
          <w:iCs/>
          <w:lang w:val="en-US"/>
        </w:rPr>
        <w:fldChar w:fldCharType="separate"/>
      </w:r>
      <w:r w:rsidR="00496BA7" w:rsidRPr="002A6BF2">
        <w:rPr>
          <w:iCs/>
          <w:noProof/>
          <w:lang w:val="en-US"/>
        </w:rPr>
        <w:t>(Miyahisa et al., 2005; Zha et al., 2009; Zhao et al., 2018)</w:t>
      </w:r>
      <w:r w:rsidR="00496BA7" w:rsidRPr="002A6BF2">
        <w:rPr>
          <w:iCs/>
          <w:lang w:val="en-US"/>
        </w:rPr>
        <w:fldChar w:fldCharType="end"/>
      </w:r>
      <w:r w:rsidRPr="002A6BF2">
        <w:rPr>
          <w:iCs/>
          <w:lang w:val="en-US"/>
        </w:rPr>
        <w:t>.</w:t>
      </w:r>
      <w:r w:rsidR="004F3025" w:rsidRPr="002A6BF2">
        <w:rPr>
          <w:iCs/>
          <w:lang w:val="en-US"/>
        </w:rPr>
        <w:t xml:space="preserve"> </w:t>
      </w:r>
      <w:r w:rsidR="00D73280" w:rsidRPr="002A6BF2">
        <w:rPr>
          <w:lang w:val="en-US"/>
        </w:rPr>
        <w:t xml:space="preserve">Overexpression of CgACC </w:t>
      </w:r>
      <w:r w:rsidR="00E07F08" w:rsidRPr="002A6BF2">
        <w:rPr>
          <w:lang w:val="en-US"/>
        </w:rPr>
        <w:t xml:space="preserve">increased pinosylvin formation </w:t>
      </w:r>
      <w:r w:rsidR="00D73280" w:rsidRPr="002A6BF2">
        <w:rPr>
          <w:lang w:val="en-US"/>
        </w:rPr>
        <w:t>compared to</w:t>
      </w:r>
      <w:r w:rsidR="00E07F08" w:rsidRPr="002A6BF2">
        <w:rPr>
          <w:lang w:val="en-US"/>
        </w:rPr>
        <w:t xml:space="preserve"> the control</w:t>
      </w:r>
      <w:r w:rsidR="002F638A" w:rsidRPr="002A6BF2">
        <w:rPr>
          <w:lang w:val="en-US"/>
        </w:rPr>
        <w:t xml:space="preserve"> strain</w:t>
      </w:r>
      <w:r w:rsidR="00E07F08" w:rsidRPr="002A6BF2">
        <w:rPr>
          <w:lang w:val="en-US"/>
        </w:rPr>
        <w:t xml:space="preserve"> </w:t>
      </w:r>
      <w:r w:rsidR="002F638A" w:rsidRPr="002A6BF2">
        <w:rPr>
          <w:i/>
          <w:iCs/>
          <w:lang w:val="en-US"/>
        </w:rPr>
        <w:t xml:space="preserve">P. taiwanensis </w:t>
      </w:r>
      <w:r w:rsidR="00D95DDB" w:rsidRPr="002A6BF2">
        <w:rPr>
          <w:lang w:val="en-US"/>
        </w:rPr>
        <w:t>GRC3</w:t>
      </w:r>
      <w:r w:rsidR="00D95DDB" w:rsidRPr="002A6BF2">
        <w:rPr>
          <w:i/>
          <w:iCs/>
          <w:lang w:val="en-US"/>
        </w:rPr>
        <w:t xml:space="preserve"> </w:t>
      </w:r>
      <w:r w:rsidR="002F638A" w:rsidRPr="002A6BF2">
        <w:rPr>
          <w:lang w:val="en-US"/>
        </w:rPr>
        <w:t xml:space="preserve">PHE </w:t>
      </w:r>
      <w:r w:rsidR="002F638A" w:rsidRPr="002A6BF2">
        <w:rPr>
          <w:i/>
          <w:iCs/>
          <w:lang w:val="en-US"/>
        </w:rPr>
        <w:t>chassis</w:t>
      </w:r>
      <w:r w:rsidR="002F638A" w:rsidRPr="002A6BF2">
        <w:rPr>
          <w:lang w:val="en-US"/>
        </w:rPr>
        <w:t xml:space="preserve"> without</w:t>
      </w:r>
      <w:r w:rsidR="00D73280" w:rsidRPr="002A6BF2">
        <w:rPr>
          <w:lang w:val="en-US"/>
        </w:rPr>
        <w:t xml:space="preserve"> the</w:t>
      </w:r>
      <w:r w:rsidR="002F638A" w:rsidRPr="002A6BF2">
        <w:rPr>
          <w:lang w:val="en-US"/>
        </w:rPr>
        <w:t xml:space="preserve"> </w:t>
      </w:r>
      <w:r w:rsidR="001C45DF" w:rsidRPr="002A6BF2">
        <w:rPr>
          <w:lang w:val="en-US"/>
        </w:rPr>
        <w:t>pBT’T-</w:t>
      </w:r>
      <w:r w:rsidR="00B219BD" w:rsidRPr="002A6BF2">
        <w:rPr>
          <w:i/>
          <w:iCs/>
          <w:lang w:val="en-US"/>
        </w:rPr>
        <w:t>Cg</w:t>
      </w:r>
      <w:r w:rsidR="002F638A" w:rsidRPr="002A6BF2">
        <w:rPr>
          <w:i/>
          <w:iCs/>
          <w:lang w:val="en-US"/>
        </w:rPr>
        <w:t>ACC</w:t>
      </w:r>
      <w:r w:rsidR="002F638A" w:rsidRPr="002A6BF2">
        <w:rPr>
          <w:lang w:val="en-US"/>
        </w:rPr>
        <w:t xml:space="preserve"> plasmid.</w:t>
      </w:r>
      <w:r w:rsidR="00E07F08" w:rsidRPr="002A6BF2">
        <w:rPr>
          <w:lang w:val="en-US"/>
        </w:rPr>
        <w:t xml:space="preserve"> </w:t>
      </w:r>
      <w:r w:rsidR="002F638A" w:rsidRPr="002A6BF2">
        <w:rPr>
          <w:lang w:val="en-US"/>
        </w:rPr>
        <w:t xml:space="preserve">The </w:t>
      </w:r>
      <w:r w:rsidR="002F638A" w:rsidRPr="002A6BF2">
        <w:rPr>
          <w:lang w:val="en-US"/>
        </w:rPr>
        <w:lastRenderedPageBreak/>
        <w:t xml:space="preserve">combination of a </w:t>
      </w:r>
      <w:r w:rsidR="002F638A" w:rsidRPr="002A6BF2">
        <w:rPr>
          <w:i/>
          <w:lang w:val="en-US"/>
        </w:rPr>
        <w:t>P</w:t>
      </w:r>
      <w:r w:rsidR="002F638A" w:rsidRPr="002A6BF2">
        <w:rPr>
          <w:i/>
          <w:iCs/>
          <w:vertAlign w:val="subscript"/>
          <w:lang w:val="en-US"/>
        </w:rPr>
        <w:t>gtlA</w:t>
      </w:r>
      <w:r w:rsidR="002F638A" w:rsidRPr="002A6BF2">
        <w:rPr>
          <w:i/>
          <w:iCs/>
          <w:lang w:val="en-US"/>
        </w:rPr>
        <w:t xml:space="preserve"> </w:t>
      </w:r>
      <w:r w:rsidR="002F638A" w:rsidRPr="002A6BF2">
        <w:rPr>
          <w:lang w:val="en-US"/>
        </w:rPr>
        <w:t xml:space="preserve">promoter exchange with </w:t>
      </w:r>
      <w:r w:rsidR="00B219BD" w:rsidRPr="002A6BF2">
        <w:rPr>
          <w:lang w:val="en-US"/>
        </w:rPr>
        <w:t>Cg</w:t>
      </w:r>
      <w:r w:rsidR="002F638A" w:rsidRPr="002A6BF2">
        <w:rPr>
          <w:lang w:val="en-US"/>
        </w:rPr>
        <w:t xml:space="preserve">ACC overexpression led to a further increase of the pinosylvin titer to </w:t>
      </w:r>
      <w:r w:rsidR="004F3025" w:rsidRPr="002A6BF2">
        <w:rPr>
          <w:lang w:val="en-US"/>
        </w:rPr>
        <w:t>14</w:t>
      </w:r>
      <w:r w:rsidR="002F638A" w:rsidRPr="002A6BF2">
        <w:rPr>
          <w:lang w:val="en-US"/>
        </w:rPr>
        <w:t xml:space="preserve"> mg</w:t>
      </w:r>
      <w:r w:rsidR="00747B9E" w:rsidRPr="002A6BF2">
        <w:rPr>
          <w:lang w:val="en-US"/>
        </w:rPr>
        <w:t> L</w:t>
      </w:r>
      <w:r w:rsidR="00747B9E" w:rsidRPr="002A6BF2">
        <w:rPr>
          <w:vertAlign w:val="superscript"/>
          <w:lang w:val="en-US"/>
        </w:rPr>
        <w:t>-1</w:t>
      </w:r>
      <w:r w:rsidR="007F74F7" w:rsidRPr="002A6BF2">
        <w:rPr>
          <w:lang w:val="en-US"/>
        </w:rPr>
        <w:t xml:space="preserve"> (0.07 mM)</w:t>
      </w:r>
      <w:r w:rsidR="002F638A" w:rsidRPr="002A6BF2">
        <w:rPr>
          <w:lang w:val="en-US"/>
        </w:rPr>
        <w:t xml:space="preserve">, which </w:t>
      </w:r>
      <w:r w:rsidR="00E8217D" w:rsidRPr="002A6BF2">
        <w:rPr>
          <w:lang w:val="en-US"/>
        </w:rPr>
        <w:t>wa</w:t>
      </w:r>
      <w:r w:rsidR="002F638A" w:rsidRPr="002A6BF2">
        <w:rPr>
          <w:lang w:val="en-US"/>
        </w:rPr>
        <w:t xml:space="preserve">s </w:t>
      </w:r>
      <w:r w:rsidR="004F3025" w:rsidRPr="002A6BF2">
        <w:rPr>
          <w:lang w:val="en-US"/>
        </w:rPr>
        <w:t xml:space="preserve">more than </w:t>
      </w:r>
      <w:r w:rsidR="002F638A" w:rsidRPr="002A6BF2">
        <w:rPr>
          <w:lang w:val="en-US"/>
        </w:rPr>
        <w:t xml:space="preserve">a </w:t>
      </w:r>
      <w:r w:rsidR="004F3025" w:rsidRPr="002A6BF2">
        <w:rPr>
          <w:lang w:val="en-US"/>
        </w:rPr>
        <w:t>three</w:t>
      </w:r>
      <w:r w:rsidR="002F638A" w:rsidRPr="002A6BF2">
        <w:rPr>
          <w:lang w:val="en-US"/>
        </w:rPr>
        <w:t xml:space="preserve">-fold increase compared to the </w:t>
      </w:r>
      <w:r w:rsidR="002F638A" w:rsidRPr="002A6BF2">
        <w:rPr>
          <w:i/>
          <w:iCs/>
          <w:lang w:val="en-US"/>
        </w:rPr>
        <w:t xml:space="preserve">P. taiwanensis </w:t>
      </w:r>
      <w:r w:rsidR="00D165C6" w:rsidRPr="002A6BF2">
        <w:rPr>
          <w:lang w:val="en-US"/>
        </w:rPr>
        <w:t xml:space="preserve">GRC3 </w:t>
      </w:r>
      <w:r w:rsidR="002F638A" w:rsidRPr="002A6BF2">
        <w:rPr>
          <w:lang w:val="en-US"/>
        </w:rPr>
        <w:t xml:space="preserve">PHE starting strain </w:t>
      </w:r>
      <w:r w:rsidR="00451B86" w:rsidRPr="002A6BF2">
        <w:rPr>
          <w:lang w:val="en-US"/>
        </w:rPr>
        <w:t>under similar conditions</w:t>
      </w:r>
      <w:r w:rsidR="002F638A" w:rsidRPr="002A6BF2">
        <w:rPr>
          <w:lang w:val="en-US"/>
        </w:rPr>
        <w:t>.</w:t>
      </w:r>
      <w:r w:rsidR="004C7C02" w:rsidRPr="002A6BF2">
        <w:rPr>
          <w:lang w:val="en-US"/>
        </w:rPr>
        <w:t xml:space="preserve"> </w:t>
      </w:r>
      <w:r w:rsidR="00B219BD" w:rsidRPr="002A6BF2">
        <w:rPr>
          <w:lang w:val="en-US"/>
        </w:rPr>
        <w:t>W</w:t>
      </w:r>
      <w:r w:rsidR="004506CC" w:rsidRPr="002A6BF2">
        <w:rPr>
          <w:lang w:val="en-US"/>
        </w:rPr>
        <w:t xml:space="preserve">e reasoned that the modifications and </w:t>
      </w:r>
      <w:r w:rsidR="00FF793B" w:rsidRPr="002A6BF2">
        <w:rPr>
          <w:lang w:val="en-US"/>
        </w:rPr>
        <w:t xml:space="preserve">gained </w:t>
      </w:r>
      <w:r w:rsidR="004506CC" w:rsidRPr="002A6BF2">
        <w:rPr>
          <w:lang w:val="en-US"/>
        </w:rPr>
        <w:t>knowledge should be applied in a metabolic context lacking an increased flux into the shikimate pathway</w:t>
      </w:r>
      <w:r w:rsidR="000E4AF3" w:rsidRPr="002A6BF2">
        <w:rPr>
          <w:lang w:val="en-US"/>
        </w:rPr>
        <w:t>.</w:t>
      </w:r>
      <w:r w:rsidR="009E7D75" w:rsidRPr="002A6BF2">
        <w:rPr>
          <w:lang w:val="en-US"/>
        </w:rPr>
        <w:t xml:space="preserve"> </w:t>
      </w:r>
    </w:p>
    <w:p w14:paraId="681E1536" w14:textId="77777777" w:rsidR="00E86960" w:rsidRPr="002A6BF2" w:rsidRDefault="00E86960" w:rsidP="00B84A00">
      <w:pPr>
        <w:spacing w:line="276" w:lineRule="auto"/>
        <w:jc w:val="both"/>
        <w:rPr>
          <w:lang w:val="en-US"/>
        </w:rPr>
      </w:pPr>
    </w:p>
    <w:p w14:paraId="575CA850" w14:textId="601A537F" w:rsidR="00C45530" w:rsidRPr="002A6BF2" w:rsidRDefault="00C45530" w:rsidP="00B84A00">
      <w:pPr>
        <w:pStyle w:val="berschrift2"/>
        <w:numPr>
          <w:ilvl w:val="1"/>
          <w:numId w:val="11"/>
        </w:numPr>
        <w:spacing w:line="276" w:lineRule="auto"/>
        <w:rPr>
          <w:lang w:val="en-US"/>
        </w:rPr>
      </w:pPr>
      <w:r w:rsidRPr="002A6BF2">
        <w:rPr>
          <w:lang w:val="en-US"/>
        </w:rPr>
        <w:t>Transfer to a platform strain</w:t>
      </w:r>
      <w:r w:rsidR="00CC1815" w:rsidRPr="002A6BF2">
        <w:rPr>
          <w:lang w:val="en-US"/>
        </w:rPr>
        <w:t xml:space="preserve"> without enhance</w:t>
      </w:r>
      <w:r w:rsidR="003446A4" w:rsidRPr="002A6BF2">
        <w:rPr>
          <w:lang w:val="en-US"/>
        </w:rPr>
        <w:t>d</w:t>
      </w:r>
      <w:r w:rsidR="00CC1815" w:rsidRPr="002A6BF2">
        <w:rPr>
          <w:lang w:val="en-US"/>
        </w:rPr>
        <w:t xml:space="preserve"> aromatics production</w:t>
      </w:r>
    </w:p>
    <w:p w14:paraId="7EA26BEE" w14:textId="6BB505F6" w:rsidR="00792308" w:rsidRPr="002A6BF2" w:rsidRDefault="00726BF7" w:rsidP="00B84A00">
      <w:pPr>
        <w:spacing w:line="276" w:lineRule="auto"/>
        <w:jc w:val="both"/>
        <w:rPr>
          <w:lang w:val="en-US"/>
        </w:rPr>
      </w:pPr>
      <w:r w:rsidRPr="002A6BF2">
        <w:rPr>
          <w:lang w:val="en-US"/>
        </w:rPr>
        <w:t>Many polyketides</w:t>
      </w:r>
      <w:r w:rsidR="00142374" w:rsidRPr="002A6BF2">
        <w:rPr>
          <w:lang w:val="en-US"/>
        </w:rPr>
        <w:t xml:space="preserve"> do not necessarily require an aromatic CoA ester precursor</w:t>
      </w:r>
      <w:r w:rsidR="00D165C6" w:rsidRPr="002A6BF2">
        <w:rPr>
          <w:lang w:val="en-US"/>
        </w:rPr>
        <w:t>. Instead,</w:t>
      </w:r>
      <w:r w:rsidRPr="002A6BF2">
        <w:rPr>
          <w:lang w:val="en-US"/>
        </w:rPr>
        <w:t xml:space="preserve"> they </w:t>
      </w:r>
      <w:r w:rsidR="00142374" w:rsidRPr="002A6BF2">
        <w:rPr>
          <w:lang w:val="en-US"/>
        </w:rPr>
        <w:t>can</w:t>
      </w:r>
      <w:r w:rsidR="003446A4" w:rsidRPr="002A6BF2">
        <w:rPr>
          <w:lang w:val="en-US"/>
        </w:rPr>
        <w:t xml:space="preserve"> be</w:t>
      </w:r>
      <w:r w:rsidR="00142374" w:rsidRPr="002A6BF2">
        <w:rPr>
          <w:lang w:val="en-US"/>
        </w:rPr>
        <w:t xml:space="preserve"> </w:t>
      </w:r>
      <w:r w:rsidR="00F11B89" w:rsidRPr="002A6BF2">
        <w:rPr>
          <w:lang w:val="en-US"/>
        </w:rPr>
        <w:t xml:space="preserve">formed </w:t>
      </w:r>
      <w:r w:rsidR="00142374" w:rsidRPr="002A6BF2">
        <w:rPr>
          <w:lang w:val="en-US"/>
        </w:rPr>
        <w:t xml:space="preserve">from malonyl-CoA exclusively, like the colorant flaviolin. Hence, </w:t>
      </w:r>
      <w:r w:rsidR="00F950E7" w:rsidRPr="002A6BF2">
        <w:rPr>
          <w:lang w:val="en-US"/>
        </w:rPr>
        <w:t xml:space="preserve">we </w:t>
      </w:r>
      <w:r w:rsidR="00DD2F2F" w:rsidRPr="002A6BF2">
        <w:rPr>
          <w:lang w:val="en-US"/>
        </w:rPr>
        <w:t xml:space="preserve">aimed </w:t>
      </w:r>
      <w:r w:rsidR="00142374" w:rsidRPr="002A6BF2">
        <w:rPr>
          <w:lang w:val="en-US"/>
        </w:rPr>
        <w:t xml:space="preserve">to have a strain purely engineered </w:t>
      </w:r>
      <w:r w:rsidRPr="002A6BF2">
        <w:rPr>
          <w:lang w:val="en-US"/>
        </w:rPr>
        <w:t xml:space="preserve">for </w:t>
      </w:r>
      <w:r w:rsidR="00142374" w:rsidRPr="002A6BF2">
        <w:rPr>
          <w:lang w:val="en-US"/>
        </w:rPr>
        <w:t xml:space="preserve">malonyl-CoA </w:t>
      </w:r>
      <w:r w:rsidRPr="002A6BF2">
        <w:rPr>
          <w:lang w:val="en-US"/>
        </w:rPr>
        <w:t xml:space="preserve">availability </w:t>
      </w:r>
      <w:r w:rsidR="00142374" w:rsidRPr="002A6BF2">
        <w:rPr>
          <w:lang w:val="en-US"/>
        </w:rPr>
        <w:t xml:space="preserve">without interference </w:t>
      </w:r>
      <w:r w:rsidR="00DD2F2F" w:rsidRPr="002A6BF2">
        <w:rPr>
          <w:lang w:val="en-US"/>
        </w:rPr>
        <w:t>of</w:t>
      </w:r>
      <w:r w:rsidR="00F11B89" w:rsidRPr="002A6BF2">
        <w:rPr>
          <w:lang w:val="en-US"/>
        </w:rPr>
        <w:t xml:space="preserve"> </w:t>
      </w:r>
      <w:r w:rsidR="00142374" w:rsidRPr="002A6BF2">
        <w:rPr>
          <w:lang w:val="en-US"/>
        </w:rPr>
        <w:t xml:space="preserve">cinnamate formation. </w:t>
      </w:r>
      <w:r w:rsidRPr="002A6BF2">
        <w:rPr>
          <w:lang w:val="en-US"/>
        </w:rPr>
        <w:t>D</w:t>
      </w:r>
      <w:r w:rsidR="00792308" w:rsidRPr="002A6BF2">
        <w:rPr>
          <w:lang w:val="en-US"/>
        </w:rPr>
        <w:t xml:space="preserve">eletion of </w:t>
      </w:r>
      <w:r w:rsidR="00555CD2" w:rsidRPr="002A6BF2">
        <w:rPr>
          <w:i/>
          <w:iCs/>
          <w:lang w:val="en-US"/>
        </w:rPr>
        <w:t>gcd</w:t>
      </w:r>
      <w:r w:rsidR="00555CD2" w:rsidRPr="002A6BF2">
        <w:rPr>
          <w:lang w:val="en-US"/>
        </w:rPr>
        <w:t xml:space="preserve"> </w:t>
      </w:r>
      <w:r w:rsidR="00A923A9" w:rsidRPr="002A6BF2">
        <w:rPr>
          <w:lang w:val="en-US"/>
        </w:rPr>
        <w:t>and</w:t>
      </w:r>
      <w:r w:rsidR="00792308" w:rsidRPr="002A6BF2">
        <w:rPr>
          <w:lang w:val="en-US"/>
        </w:rPr>
        <w:t xml:space="preserve"> </w:t>
      </w:r>
      <w:r w:rsidR="005F2574" w:rsidRPr="002A6BF2">
        <w:rPr>
          <w:lang w:val="en-US"/>
        </w:rPr>
        <w:t xml:space="preserve">altered </w:t>
      </w:r>
      <w:r w:rsidR="00792308" w:rsidRPr="002A6BF2">
        <w:rPr>
          <w:lang w:val="en-US"/>
        </w:rPr>
        <w:t xml:space="preserve">citrate synthase expression in combination with heterologous </w:t>
      </w:r>
      <w:r w:rsidR="0002680B" w:rsidRPr="002A6BF2">
        <w:rPr>
          <w:lang w:val="en-US"/>
        </w:rPr>
        <w:t>Cg</w:t>
      </w:r>
      <w:r w:rsidR="00792308" w:rsidRPr="002A6BF2">
        <w:rPr>
          <w:lang w:val="en-US"/>
        </w:rPr>
        <w:t xml:space="preserve">ACC expression </w:t>
      </w:r>
      <w:r w:rsidR="005F2574" w:rsidRPr="002A6BF2">
        <w:rPr>
          <w:lang w:val="en-US"/>
        </w:rPr>
        <w:t xml:space="preserve">enabled </w:t>
      </w:r>
      <w:r w:rsidR="00792308" w:rsidRPr="002A6BF2">
        <w:rPr>
          <w:lang w:val="en-US"/>
        </w:rPr>
        <w:t xml:space="preserve">higher pinosylvin titers in a phenylalanine platform strain. Yet, cinnamate </w:t>
      </w:r>
      <w:r w:rsidR="00792308" w:rsidRPr="002A6BF2">
        <w:rPr>
          <w:i/>
          <w:lang w:val="en-US"/>
        </w:rPr>
        <w:t>de novo</w:t>
      </w:r>
      <w:r w:rsidR="00792308" w:rsidRPr="002A6BF2">
        <w:rPr>
          <w:lang w:val="en-US"/>
        </w:rPr>
        <w:t xml:space="preserve"> supply </w:t>
      </w:r>
      <w:r w:rsidR="001C45DF" w:rsidRPr="002A6BF2">
        <w:rPr>
          <w:lang w:val="en-US"/>
        </w:rPr>
        <w:t>wa</w:t>
      </w:r>
      <w:r w:rsidR="00792308" w:rsidRPr="002A6BF2">
        <w:rPr>
          <w:lang w:val="en-US"/>
        </w:rPr>
        <w:t xml:space="preserve">s higher than its conversion to pinosylvin in these strains </w:t>
      </w:r>
      <w:r w:rsidR="00767BE6" w:rsidRPr="002A6BF2">
        <w:rPr>
          <w:lang w:val="en-US"/>
        </w:rPr>
        <w:t xml:space="preserve">which </w:t>
      </w:r>
      <w:r w:rsidR="001C45DF" w:rsidRPr="002A6BF2">
        <w:rPr>
          <w:lang w:val="en-US"/>
        </w:rPr>
        <w:t>we</w:t>
      </w:r>
      <w:r w:rsidR="00767BE6" w:rsidRPr="002A6BF2">
        <w:rPr>
          <w:lang w:val="en-US"/>
        </w:rPr>
        <w:t xml:space="preserve">re </w:t>
      </w:r>
      <w:r w:rsidR="00792308" w:rsidRPr="002A6BF2">
        <w:rPr>
          <w:lang w:val="en-US"/>
        </w:rPr>
        <w:t>based on</w:t>
      </w:r>
      <w:r w:rsidR="00F40874" w:rsidRPr="002A6BF2">
        <w:rPr>
          <w:lang w:val="en-US"/>
        </w:rPr>
        <w:t xml:space="preserve"> an</w:t>
      </w:r>
      <w:r w:rsidR="00792308" w:rsidRPr="002A6BF2">
        <w:rPr>
          <w:lang w:val="en-US"/>
        </w:rPr>
        <w:t xml:space="preserve"> aromatic production strain and</w:t>
      </w:r>
      <w:r w:rsidR="00C80FA4" w:rsidRPr="002A6BF2">
        <w:rPr>
          <w:lang w:val="en-US"/>
        </w:rPr>
        <w:t xml:space="preserve"> so</w:t>
      </w:r>
      <w:r w:rsidR="00792308" w:rsidRPr="002A6BF2">
        <w:rPr>
          <w:lang w:val="en-US"/>
        </w:rPr>
        <w:t xml:space="preserve"> </w:t>
      </w:r>
      <w:r w:rsidR="00555CD2" w:rsidRPr="002A6BF2">
        <w:rPr>
          <w:lang w:val="en-US"/>
        </w:rPr>
        <w:t xml:space="preserve">the </w:t>
      </w:r>
      <w:r w:rsidR="00C80FA4" w:rsidRPr="002A6BF2">
        <w:rPr>
          <w:lang w:val="en-US"/>
        </w:rPr>
        <w:t xml:space="preserve">shikimate pathway </w:t>
      </w:r>
      <w:r w:rsidR="00792308" w:rsidRPr="002A6BF2">
        <w:rPr>
          <w:lang w:val="en-US"/>
        </w:rPr>
        <w:t xml:space="preserve">competes with carbon flux towards </w:t>
      </w:r>
      <w:r w:rsidR="00C80FA4" w:rsidRPr="002A6BF2">
        <w:rPr>
          <w:lang w:val="en-US"/>
        </w:rPr>
        <w:t>m</w:t>
      </w:r>
      <w:r w:rsidR="00792308" w:rsidRPr="002A6BF2">
        <w:rPr>
          <w:lang w:val="en-US"/>
        </w:rPr>
        <w:t>a</w:t>
      </w:r>
      <w:r w:rsidR="00C80FA4" w:rsidRPr="002A6BF2">
        <w:rPr>
          <w:lang w:val="en-US"/>
        </w:rPr>
        <w:t>lonyl</w:t>
      </w:r>
      <w:r w:rsidR="00F40874" w:rsidRPr="002A6BF2">
        <w:rPr>
          <w:lang w:val="en-US"/>
        </w:rPr>
        <w:noBreakHyphen/>
      </w:r>
      <w:r w:rsidR="00792308" w:rsidRPr="002A6BF2">
        <w:rPr>
          <w:lang w:val="en-US"/>
        </w:rPr>
        <w:t xml:space="preserve">CoA. </w:t>
      </w:r>
      <w:bookmarkStart w:id="1" w:name="OLE_LINK1"/>
      <w:r w:rsidR="00792308" w:rsidRPr="002A6BF2">
        <w:rPr>
          <w:lang w:val="en-US"/>
        </w:rPr>
        <w:t xml:space="preserve">Therefore, to reduce </w:t>
      </w:r>
      <w:r w:rsidR="00767BE6" w:rsidRPr="002A6BF2">
        <w:rPr>
          <w:lang w:val="en-US"/>
        </w:rPr>
        <w:t>complexity of the production system</w:t>
      </w:r>
      <w:r w:rsidR="00CC49B7" w:rsidRPr="002A6BF2">
        <w:rPr>
          <w:lang w:val="en-US"/>
        </w:rPr>
        <w:t xml:space="preserve"> and enable a better evaluation of engineering strategies around malonyl-CoA</w:t>
      </w:r>
      <w:r w:rsidR="00767BE6" w:rsidRPr="002A6BF2">
        <w:rPr>
          <w:lang w:val="en-US"/>
        </w:rPr>
        <w:t xml:space="preserve">, </w:t>
      </w:r>
      <w:r w:rsidR="00792308" w:rsidRPr="002A6BF2">
        <w:rPr>
          <w:lang w:val="en-US"/>
        </w:rPr>
        <w:t xml:space="preserve">beneficial modifications were transferred to </w:t>
      </w:r>
      <w:r w:rsidR="00767BE6" w:rsidRPr="002A6BF2">
        <w:rPr>
          <w:lang w:val="en-US"/>
        </w:rPr>
        <w:t>a</w:t>
      </w:r>
      <w:r w:rsidR="00792308" w:rsidRPr="002A6BF2">
        <w:rPr>
          <w:lang w:val="en-US"/>
        </w:rPr>
        <w:t xml:space="preserve"> </w:t>
      </w:r>
      <w:r w:rsidR="00767BE6" w:rsidRPr="002A6BF2">
        <w:rPr>
          <w:lang w:val="en-US"/>
        </w:rPr>
        <w:t xml:space="preserve">strain </w:t>
      </w:r>
      <w:bookmarkEnd w:id="1"/>
      <w:r w:rsidR="00CC1815" w:rsidRPr="002A6BF2">
        <w:rPr>
          <w:lang w:val="en-US"/>
        </w:rPr>
        <w:t xml:space="preserve">without </w:t>
      </w:r>
      <w:r w:rsidR="007A0E11" w:rsidRPr="002A6BF2">
        <w:rPr>
          <w:lang w:val="en-US"/>
        </w:rPr>
        <w:t xml:space="preserve">an </w:t>
      </w:r>
      <w:r w:rsidR="00CC1815" w:rsidRPr="002A6BF2">
        <w:rPr>
          <w:lang w:val="en-US"/>
        </w:rPr>
        <w:t>enhance</w:t>
      </w:r>
      <w:r w:rsidR="006B56EB" w:rsidRPr="002A6BF2">
        <w:rPr>
          <w:lang w:val="en-US"/>
        </w:rPr>
        <w:t>d</w:t>
      </w:r>
      <w:r w:rsidR="007A0E11" w:rsidRPr="002A6BF2">
        <w:rPr>
          <w:lang w:val="en-US"/>
        </w:rPr>
        <w:t xml:space="preserve"> flux into the shikimate pathway and thus limited</w:t>
      </w:r>
      <w:r w:rsidR="00CC1815" w:rsidRPr="002A6BF2">
        <w:rPr>
          <w:lang w:val="en-US"/>
        </w:rPr>
        <w:t xml:space="preserve"> aromatics production</w:t>
      </w:r>
      <w:r w:rsidR="00767BE6" w:rsidRPr="002A6BF2">
        <w:rPr>
          <w:lang w:val="en-US"/>
        </w:rPr>
        <w:t>.</w:t>
      </w:r>
      <w:r w:rsidR="007A0E11" w:rsidRPr="002A6BF2">
        <w:rPr>
          <w:lang w:val="en-US"/>
        </w:rPr>
        <w:t xml:space="preserve"> </w:t>
      </w:r>
      <w:r w:rsidR="00356373" w:rsidRPr="002A6BF2">
        <w:rPr>
          <w:lang w:val="en-US"/>
        </w:rPr>
        <w:t>T</w:t>
      </w:r>
      <w:r w:rsidR="007A0E11" w:rsidRPr="002A6BF2">
        <w:rPr>
          <w:lang w:val="en-US"/>
        </w:rPr>
        <w:t>he chosen strain,</w:t>
      </w:r>
      <w:r w:rsidR="00767BE6" w:rsidRPr="002A6BF2">
        <w:rPr>
          <w:lang w:val="en-US"/>
        </w:rPr>
        <w:t xml:space="preserve"> </w:t>
      </w:r>
      <w:r w:rsidR="009B5F8C" w:rsidRPr="002A6BF2">
        <w:rPr>
          <w:lang w:val="en-US"/>
        </w:rPr>
        <w:t>GRC3</w:t>
      </w:r>
      <w:r w:rsidR="00792308" w:rsidRPr="002A6BF2">
        <w:rPr>
          <w:rFonts w:ascii="Arial" w:hAnsi="Arial" w:cs="Arial"/>
          <w:lang w:val="en-US"/>
        </w:rPr>
        <w:t>Δ</w:t>
      </w:r>
      <w:r w:rsidR="00792308" w:rsidRPr="002A6BF2">
        <w:rPr>
          <w:lang w:val="en-US"/>
        </w:rPr>
        <w:t>6</w:t>
      </w:r>
      <w:r w:rsidR="003B73AE" w:rsidRPr="002A6BF2">
        <w:rPr>
          <w:lang w:val="en-US"/>
        </w:rPr>
        <w:t xml:space="preserve"> </w:t>
      </w:r>
      <w:r w:rsidR="00142374" w:rsidRPr="002A6BF2">
        <w:rPr>
          <w:lang w:val="en-US"/>
        </w:rPr>
        <w:t>(∆</w:t>
      </w:r>
      <w:r w:rsidR="00142374" w:rsidRPr="002A6BF2">
        <w:rPr>
          <w:i/>
          <w:lang w:val="en-US"/>
        </w:rPr>
        <w:t>pobA</w:t>
      </w:r>
      <w:r w:rsidR="00142374" w:rsidRPr="002A6BF2">
        <w:rPr>
          <w:lang w:val="en-US"/>
        </w:rPr>
        <w:t>, ∆</w:t>
      </w:r>
      <w:r w:rsidR="00142374" w:rsidRPr="002A6BF2">
        <w:rPr>
          <w:i/>
          <w:lang w:val="en-US"/>
        </w:rPr>
        <w:t>hpd</w:t>
      </w:r>
      <w:r w:rsidR="00142374" w:rsidRPr="002A6BF2">
        <w:rPr>
          <w:lang w:val="en-US"/>
        </w:rPr>
        <w:t>, ∆</w:t>
      </w:r>
      <w:r w:rsidR="00142374" w:rsidRPr="002A6BF2">
        <w:rPr>
          <w:i/>
          <w:lang w:val="en-US"/>
        </w:rPr>
        <w:t>quiC</w:t>
      </w:r>
      <w:r w:rsidR="00142374" w:rsidRPr="002A6BF2">
        <w:rPr>
          <w:lang w:val="en-US"/>
        </w:rPr>
        <w:t>, ∆</w:t>
      </w:r>
      <w:r w:rsidR="00142374" w:rsidRPr="002A6BF2">
        <w:rPr>
          <w:i/>
          <w:lang w:val="en-US"/>
        </w:rPr>
        <w:t>quiC1</w:t>
      </w:r>
      <w:r w:rsidR="00142374" w:rsidRPr="002A6BF2">
        <w:rPr>
          <w:lang w:val="en-US"/>
        </w:rPr>
        <w:t>, ∆</w:t>
      </w:r>
      <w:r w:rsidR="00142374" w:rsidRPr="002A6BF2">
        <w:rPr>
          <w:i/>
          <w:lang w:val="en-US"/>
        </w:rPr>
        <w:t>quiC2</w:t>
      </w:r>
      <w:r w:rsidR="00142374" w:rsidRPr="002A6BF2">
        <w:rPr>
          <w:lang w:val="en-US"/>
        </w:rPr>
        <w:t>, ∆</w:t>
      </w:r>
      <w:r w:rsidR="00142374" w:rsidRPr="002A6BF2">
        <w:rPr>
          <w:i/>
          <w:lang w:val="en-US"/>
        </w:rPr>
        <w:t>benABCD</w:t>
      </w:r>
      <w:r w:rsidR="00142374" w:rsidRPr="002A6BF2">
        <w:rPr>
          <w:lang w:val="en-US"/>
        </w:rPr>
        <w:t>)</w:t>
      </w:r>
      <w:r w:rsidR="00421EEA" w:rsidRPr="002A6BF2">
        <w:rPr>
          <w:lang w:val="en-US"/>
        </w:rPr>
        <w:t>,</w:t>
      </w:r>
      <w:r w:rsidR="00142374" w:rsidRPr="002A6BF2">
        <w:rPr>
          <w:lang w:val="en-US"/>
        </w:rPr>
        <w:t xml:space="preserve"> </w:t>
      </w:r>
      <w:r w:rsidR="003B73AE" w:rsidRPr="002A6BF2">
        <w:rPr>
          <w:lang w:val="en-US"/>
        </w:rPr>
        <w:t>is</w:t>
      </w:r>
      <w:r w:rsidR="00792308" w:rsidRPr="002A6BF2">
        <w:rPr>
          <w:lang w:val="en-US"/>
        </w:rPr>
        <w:t xml:space="preserve"> a GRC3 derivative lacking several degradation pathways of aromatics to pre</w:t>
      </w:r>
      <w:r w:rsidR="00792308" w:rsidRPr="002A6BF2">
        <w:rPr>
          <w:lang w:val="en-US"/>
        </w:rPr>
        <w:lastRenderedPageBreak/>
        <w:t xml:space="preserve">vent precursor depletion. </w:t>
      </w:r>
      <w:r w:rsidRPr="002A6BF2">
        <w:rPr>
          <w:lang w:val="en-US"/>
        </w:rPr>
        <w:t>A c</w:t>
      </w:r>
      <w:r w:rsidR="00E632AA" w:rsidRPr="002A6BF2">
        <w:rPr>
          <w:lang w:val="en-US"/>
        </w:rPr>
        <w:t>odon-</w:t>
      </w:r>
      <w:r w:rsidR="00792308" w:rsidRPr="002A6BF2">
        <w:rPr>
          <w:lang w:val="en-US"/>
        </w:rPr>
        <w:t>optimized</w:t>
      </w:r>
      <w:r w:rsidRPr="002A6BF2">
        <w:rPr>
          <w:lang w:val="en-US"/>
        </w:rPr>
        <w:t xml:space="preserve"> ver</w:t>
      </w:r>
      <w:r w:rsidR="00E46EDF" w:rsidRPr="002A6BF2">
        <w:rPr>
          <w:lang w:val="en-US"/>
        </w:rPr>
        <w:t>s</w:t>
      </w:r>
      <w:r w:rsidRPr="002A6BF2">
        <w:rPr>
          <w:lang w:val="en-US"/>
        </w:rPr>
        <w:t xml:space="preserve">ion of </w:t>
      </w:r>
      <w:r w:rsidRPr="002A6BF2">
        <w:rPr>
          <w:i/>
          <w:lang w:val="en-US"/>
        </w:rPr>
        <w:t>SgRppA</w:t>
      </w:r>
      <w:r w:rsidRPr="002A6BF2">
        <w:rPr>
          <w:lang w:val="en-US"/>
        </w:rPr>
        <w:t xml:space="preserve"> from </w:t>
      </w:r>
      <w:r w:rsidR="00792308" w:rsidRPr="002A6BF2">
        <w:rPr>
          <w:i/>
          <w:lang w:val="en-US"/>
        </w:rPr>
        <w:t>Streptomyces</w:t>
      </w:r>
      <w:r w:rsidR="00792308" w:rsidRPr="002A6BF2">
        <w:rPr>
          <w:lang w:val="en-US"/>
        </w:rPr>
        <w:t xml:space="preserve"> </w:t>
      </w:r>
      <w:r w:rsidR="00792308" w:rsidRPr="002A6BF2">
        <w:rPr>
          <w:i/>
          <w:lang w:val="en-US"/>
        </w:rPr>
        <w:t>griseus</w:t>
      </w:r>
      <w:r w:rsidRPr="002A6BF2">
        <w:rPr>
          <w:lang w:val="en-US"/>
        </w:rPr>
        <w:t xml:space="preserve">, encoding THNS, </w:t>
      </w:r>
      <w:r w:rsidR="00E632AA" w:rsidRPr="002A6BF2">
        <w:rPr>
          <w:lang w:val="en-US"/>
        </w:rPr>
        <w:t>was</w:t>
      </w:r>
      <w:r w:rsidR="00BE6953" w:rsidRPr="002A6BF2">
        <w:rPr>
          <w:lang w:val="en-US"/>
        </w:rPr>
        <w:t xml:space="preserve"> </w:t>
      </w:r>
      <w:r w:rsidR="00792308" w:rsidRPr="002A6BF2">
        <w:rPr>
          <w:lang w:val="en-US"/>
        </w:rPr>
        <w:t xml:space="preserve">integrated </w:t>
      </w:r>
      <w:r w:rsidR="00E632AA" w:rsidRPr="002A6BF2">
        <w:rPr>
          <w:lang w:val="en-US"/>
        </w:rPr>
        <w:t xml:space="preserve">into the genome </w:t>
      </w:r>
      <w:r w:rsidR="00555CD2" w:rsidRPr="002A6BF2">
        <w:rPr>
          <w:lang w:val="en-US"/>
        </w:rPr>
        <w:t xml:space="preserve">of this strain </w:t>
      </w:r>
      <w:r w:rsidR="00792308" w:rsidRPr="002A6BF2">
        <w:rPr>
          <w:lang w:val="en-US"/>
        </w:rPr>
        <w:t>at</w:t>
      </w:r>
      <w:r w:rsidR="008C16EC" w:rsidRPr="002A6BF2">
        <w:rPr>
          <w:lang w:val="en-US"/>
        </w:rPr>
        <w:t xml:space="preserve"> </w:t>
      </w:r>
      <w:r w:rsidR="00900640" w:rsidRPr="002A6BF2">
        <w:rPr>
          <w:lang w:val="en-US"/>
        </w:rPr>
        <w:t xml:space="preserve">the </w:t>
      </w:r>
      <w:r w:rsidR="00792308" w:rsidRPr="002A6BF2">
        <w:rPr>
          <w:lang w:val="en-US"/>
        </w:rPr>
        <w:t>Tn7</w:t>
      </w:r>
      <w:r w:rsidR="00900640" w:rsidRPr="002A6BF2">
        <w:rPr>
          <w:lang w:val="en-US"/>
        </w:rPr>
        <w:t xml:space="preserve"> </w:t>
      </w:r>
      <w:r w:rsidR="00421EEA" w:rsidRPr="002A6BF2">
        <w:rPr>
          <w:lang w:val="en-US"/>
        </w:rPr>
        <w:t xml:space="preserve">attachment </w:t>
      </w:r>
      <w:r w:rsidR="00792308" w:rsidRPr="002A6BF2">
        <w:rPr>
          <w:lang w:val="en-US"/>
        </w:rPr>
        <w:t>site</w:t>
      </w:r>
      <w:r w:rsidR="00421EEA" w:rsidRPr="002A6BF2">
        <w:rPr>
          <w:lang w:val="en-US"/>
        </w:rPr>
        <w:t xml:space="preserve"> (</w:t>
      </w:r>
      <w:r w:rsidR="00421EEA" w:rsidRPr="002A6BF2">
        <w:rPr>
          <w:i/>
          <w:lang w:val="en-US"/>
        </w:rPr>
        <w:t>attTn7</w:t>
      </w:r>
      <w:r w:rsidR="00421EEA" w:rsidRPr="002A6BF2">
        <w:rPr>
          <w:lang w:val="en-US"/>
        </w:rPr>
        <w:t>)</w:t>
      </w:r>
      <w:r w:rsidR="00CC49B7" w:rsidRPr="002A6BF2">
        <w:rPr>
          <w:lang w:val="en-US"/>
        </w:rPr>
        <w:t xml:space="preserve"> </w:t>
      </w:r>
      <w:r w:rsidR="00D165C6" w:rsidRPr="002A6BF2">
        <w:rPr>
          <w:lang w:val="en-US"/>
        </w:rPr>
        <w:t>followed by kanamycin resistance</w:t>
      </w:r>
      <w:r w:rsidR="00CC49B7" w:rsidRPr="002A6BF2">
        <w:rPr>
          <w:lang w:val="en-US"/>
        </w:rPr>
        <w:t xml:space="preserve"> marker recycling </w:t>
      </w:r>
      <w:r w:rsidR="00CC49B7" w:rsidRPr="002A6BF2">
        <w:rPr>
          <w:lang w:val="en-US"/>
        </w:rPr>
        <w:fldChar w:fldCharType="begin" w:fldLock="1"/>
      </w:r>
      <w:r w:rsidR="00D40894" w:rsidRPr="002A6BF2">
        <w:rPr>
          <w:lang w:val="en-US"/>
        </w:rPr>
        <w:instrText>ADDIN CSL_CITATION {"citationItems":[{"id":"ITEM-1","itemData":{"DOI":"10.1016/j.ymben.2021.05.001","ISSN":"10967176","PMID":"33965615","abstract":"Bio-upcycling of plastics is an upcoming alternative approach for the valorization of diverse polymer waste streams that are too contaminated for traditional recycling technologies. Adipic acid and other medium-chain-length dicarboxylates are key components of many plastics including polyamides, polyesters, and polyurethanes. This study endows Pseudomonas putida KT2440 with efficient metabolism of these dicarboxylates. The dcaAKIJP genes from Acinetobacter baylyi, encoding initial uptake and activation steps for dicarboxylates, were heterologously expressed. Genomic integration of these dca genes proved to be a key factor in efficient and reliable expression. In spite of this, adaptive laboratory evolution was needed to connect these initial steps to the native metabolism of P. putida, thereby enabling growth on adipate as sole carbon source. Genome sequencing of evolved strains revealed a central role of a paa gene cluster, which encodes parts of the phenylacetate metabolic degradation pathway with parallels to adipate metabolism. Fast growth required the additional disruption of the regulator-encoding psrA, which upregulates redundant β-oxidation genes. This knowledge enabled the rational reverse engineering of a strain that can not only use adipate, but also other medium-chain-length dicarboxylates like suberate and sebacate. The reverse engineered strain grows on adipate with a rate of 0.35 ± 0.01 h−1, reaching a final biomass yield of 0.27 ± 0.00 gCDW gadipate−1. In a nitrogen-limited medium this strain produced polyhydroxyalkanoates from adipate up to 25% of its CDW. This proves its applicability for the upcycling of mixtures of polymers made from fossile resources into biodegradable counterparts.","author":[{"dropping-particle":"","family":"Ackermann","given":"Yannic S.","non-dropping-particle":"","parse-names":false,"suffix":""},{"dropping-particle":"","family":"Li","given":"Wing-Jin","non-dropping-particle":"","parse-names":false,"suffix":""},{"dropping-particle":"","family":"Hipt","given":"Leonie","non-dropping-particle":"Op de","parse-names":false,"suffix":""},{"dropping-particle":"","family":"Niehoff","given":"Paul-Joachim","non-dropping-particle":"","parse-names":false,"suffix":""},{"dropping-particle":"","family":"Casey","given":"William","non-dropping-particle":"","parse-names":false,"suffix":""},{"dropping-particle":"","family":"Polen","given":"Tino","non-dropping-particle":"","parse-names":false,"suffix":""},{"dropping-particle":"","family":"Köbbing","given":"Sebastian","non-dropping-particle":"","parse-names":false,"suffix":""},{"dropping-particle":"","family":"Ballerstedt","given":"Hendrik","non-dropping-particle":"","parse-names":false,"suffix":""},{"dropping-particle":"","family":"Wynands","given":"Benedikt","non-dropping-particle":"","parse-names":false,"suffix":""},{"dropping-particle":"","family":"O'Connor","given":"Kevin","non-dropping-particle":"","parse-names":false,"suffix":""},{"dropping-particle":"","family":"Blank","given":"Lars M.","non-dropping-particle":"","parse-names":false,"suffix":""},{"dropping-particle":"","family":"Wierckx","given":"Nick","non-dropping-particle":"","parse-names":false,"suffix":""}],"container-title":"Metabolic Engineering","id":"ITEM-1","issue":"February","issued":{"date-parts":[["2021"]]},"page":"29-40","title":"Engineering adipic acid metabolism in &lt;i&gt;Pseudomonas putida&lt;/i&gt;","type":"article-journal","volume":"67"},"uris":["http://www.mendeley.com/documents/?uuid=467642f3-6aae-4818-b8f9-447044d47800"]}],"mendeley":{"formattedCitation":"(Ackermann et al., 2021)","plainTextFormattedCitation":"(Ackermann et al., 2021)","previouslyFormattedCitation":"(Ackermann et al., 2021)"},"properties":{"noteIndex":0},"schema":"https://github.com/citation-style-language/schema/raw/master/csl-citation.json"}</w:instrText>
      </w:r>
      <w:r w:rsidR="00CC49B7" w:rsidRPr="002A6BF2">
        <w:rPr>
          <w:lang w:val="en-US"/>
        </w:rPr>
        <w:fldChar w:fldCharType="separate"/>
      </w:r>
      <w:r w:rsidR="00B255F3" w:rsidRPr="002A6BF2">
        <w:rPr>
          <w:noProof/>
          <w:lang w:val="en-US"/>
        </w:rPr>
        <w:t>(Ackermann et al., 2021)</w:t>
      </w:r>
      <w:r w:rsidR="00CC49B7" w:rsidRPr="002A6BF2">
        <w:rPr>
          <w:lang w:val="en-US"/>
        </w:rPr>
        <w:fldChar w:fldCharType="end"/>
      </w:r>
      <w:r w:rsidR="00792308" w:rsidRPr="002A6BF2">
        <w:rPr>
          <w:lang w:val="en-US"/>
        </w:rPr>
        <w:t xml:space="preserve"> to yield a constitutive flaviolin producer</w:t>
      </w:r>
      <w:r w:rsidR="00E632AA" w:rsidRPr="002A6BF2">
        <w:rPr>
          <w:lang w:val="en-US"/>
        </w:rPr>
        <w:t>.</w:t>
      </w:r>
      <w:r w:rsidR="00792308" w:rsidRPr="002A6BF2">
        <w:rPr>
          <w:lang w:val="en-US"/>
        </w:rPr>
        <w:t xml:space="preserve"> </w:t>
      </w:r>
      <w:r w:rsidR="007F16F4" w:rsidRPr="002A6BF2">
        <w:rPr>
          <w:rStyle w:val="Kommentarzeichen"/>
          <w:rFonts w:eastAsiaTheme="minorEastAsia"/>
          <w:sz w:val="22"/>
          <w:szCs w:val="22"/>
          <w:lang w:val="en-US"/>
        </w:rPr>
        <w:t>Thereby</w:t>
      </w:r>
      <w:r w:rsidR="00792308" w:rsidRPr="002A6BF2">
        <w:rPr>
          <w:lang w:val="en-US"/>
        </w:rPr>
        <w:t xml:space="preserve">, a product </w:t>
      </w:r>
      <w:r w:rsidR="0000373D" w:rsidRPr="002A6BF2">
        <w:rPr>
          <w:lang w:val="en-US"/>
        </w:rPr>
        <w:t xml:space="preserve">formed </w:t>
      </w:r>
      <w:r w:rsidR="003B73AE" w:rsidRPr="002A6BF2">
        <w:rPr>
          <w:lang w:val="en-US"/>
        </w:rPr>
        <w:t>exclusively</w:t>
      </w:r>
      <w:r w:rsidR="00792308" w:rsidRPr="002A6BF2">
        <w:rPr>
          <w:lang w:val="en-US"/>
        </w:rPr>
        <w:t xml:space="preserve"> from 5 units of </w:t>
      </w:r>
      <w:r w:rsidR="00F40874" w:rsidRPr="002A6BF2">
        <w:rPr>
          <w:lang w:val="en-US"/>
        </w:rPr>
        <w:t>m</w:t>
      </w:r>
      <w:r w:rsidR="00792308" w:rsidRPr="002A6BF2">
        <w:rPr>
          <w:lang w:val="en-US"/>
        </w:rPr>
        <w:t>a</w:t>
      </w:r>
      <w:r w:rsidR="00F40874" w:rsidRPr="002A6BF2">
        <w:rPr>
          <w:lang w:val="en-US"/>
        </w:rPr>
        <w:t>lonyl-</w:t>
      </w:r>
      <w:r w:rsidR="00792308" w:rsidRPr="002A6BF2">
        <w:rPr>
          <w:lang w:val="en-US"/>
        </w:rPr>
        <w:t xml:space="preserve">CoA serves as reporter for </w:t>
      </w:r>
      <w:r w:rsidR="00F40874" w:rsidRPr="002A6BF2">
        <w:rPr>
          <w:lang w:val="en-US"/>
        </w:rPr>
        <w:t>m</w:t>
      </w:r>
      <w:r w:rsidR="00792308" w:rsidRPr="002A6BF2">
        <w:rPr>
          <w:lang w:val="en-US"/>
        </w:rPr>
        <w:t>a</w:t>
      </w:r>
      <w:r w:rsidR="00F40874" w:rsidRPr="002A6BF2">
        <w:rPr>
          <w:lang w:val="en-US"/>
        </w:rPr>
        <w:t>lonyl-</w:t>
      </w:r>
      <w:r w:rsidR="00792308" w:rsidRPr="002A6BF2">
        <w:rPr>
          <w:lang w:val="en-US"/>
        </w:rPr>
        <w:t>CoA availability</w:t>
      </w:r>
      <w:r w:rsidR="003B73AE" w:rsidRPr="002A6BF2">
        <w:rPr>
          <w:lang w:val="en-US"/>
        </w:rPr>
        <w:t xml:space="preserve"> to reduce probable additional complexity </w:t>
      </w:r>
      <w:r w:rsidR="00C91A99" w:rsidRPr="002A6BF2">
        <w:rPr>
          <w:lang w:val="en-US"/>
        </w:rPr>
        <w:t>from</w:t>
      </w:r>
      <w:r w:rsidR="003B73AE" w:rsidRPr="002A6BF2">
        <w:rPr>
          <w:lang w:val="en-US"/>
        </w:rPr>
        <w:t xml:space="preserve"> precursor supplementation</w:t>
      </w:r>
      <w:r w:rsidR="00792308" w:rsidRPr="002A6BF2">
        <w:rPr>
          <w:lang w:val="en-US"/>
        </w:rPr>
        <w:t xml:space="preserve">. Experiments were conducted </w:t>
      </w:r>
      <w:r w:rsidR="0008401D" w:rsidRPr="002A6BF2">
        <w:rPr>
          <w:lang w:val="en-US"/>
        </w:rPr>
        <w:t xml:space="preserve">in </w:t>
      </w:r>
      <w:r w:rsidR="00792308" w:rsidRPr="002A6BF2">
        <w:rPr>
          <w:lang w:val="en-US"/>
        </w:rPr>
        <w:t xml:space="preserve">3-fold </w:t>
      </w:r>
      <w:r w:rsidR="0008401D" w:rsidRPr="002A6BF2">
        <w:rPr>
          <w:lang w:val="en-US"/>
        </w:rPr>
        <w:t>b</w:t>
      </w:r>
      <w:r w:rsidR="00792308" w:rsidRPr="002A6BF2">
        <w:rPr>
          <w:lang w:val="en-US"/>
        </w:rPr>
        <w:t>uffer</w:t>
      </w:r>
      <w:r w:rsidR="000E2B2A" w:rsidRPr="002A6BF2">
        <w:rPr>
          <w:lang w:val="en-US"/>
        </w:rPr>
        <w:t>ed</w:t>
      </w:r>
      <w:r w:rsidR="00792308" w:rsidRPr="002A6BF2">
        <w:rPr>
          <w:lang w:val="en-US"/>
        </w:rPr>
        <w:t xml:space="preserve"> </w:t>
      </w:r>
      <w:r w:rsidR="000E2B2A" w:rsidRPr="002A6BF2">
        <w:rPr>
          <w:lang w:val="en-US"/>
        </w:rPr>
        <w:t xml:space="preserve">MSM </w:t>
      </w:r>
      <w:r w:rsidR="00792308" w:rsidRPr="002A6BF2">
        <w:rPr>
          <w:lang w:val="en-US"/>
        </w:rPr>
        <w:t xml:space="preserve">to </w:t>
      </w:r>
      <w:r w:rsidRPr="002A6BF2">
        <w:rPr>
          <w:lang w:val="en-US"/>
        </w:rPr>
        <w:t xml:space="preserve">avoid </w:t>
      </w:r>
      <w:r w:rsidR="00792308" w:rsidRPr="002A6BF2">
        <w:rPr>
          <w:lang w:val="en-US"/>
        </w:rPr>
        <w:t xml:space="preserve">pH </w:t>
      </w:r>
      <w:r w:rsidR="00D04380" w:rsidRPr="002A6BF2">
        <w:rPr>
          <w:lang w:val="en-US"/>
        </w:rPr>
        <w:t>shifts</w:t>
      </w:r>
      <w:r w:rsidR="00F11B89" w:rsidRPr="002A6BF2">
        <w:rPr>
          <w:lang w:val="en-US"/>
        </w:rPr>
        <w:t xml:space="preserve"> </w:t>
      </w:r>
      <w:r w:rsidR="00206583" w:rsidRPr="002A6BF2">
        <w:rPr>
          <w:lang w:val="en-US"/>
        </w:rPr>
        <w:t xml:space="preserve">and </w:t>
      </w:r>
      <w:r w:rsidR="008C16EC" w:rsidRPr="002A6BF2">
        <w:rPr>
          <w:lang w:val="en-US"/>
        </w:rPr>
        <w:t>e</w:t>
      </w:r>
      <w:r w:rsidR="00206583" w:rsidRPr="002A6BF2">
        <w:rPr>
          <w:lang w:val="en-US"/>
        </w:rPr>
        <w:t>nsure flaviolin secretion</w:t>
      </w:r>
      <w:r w:rsidR="00792308" w:rsidRPr="002A6BF2">
        <w:rPr>
          <w:lang w:val="en-US"/>
        </w:rPr>
        <w:t xml:space="preserve"> during cultivation</w:t>
      </w:r>
      <w:r w:rsidR="007F16F4" w:rsidRPr="002A6BF2">
        <w:rPr>
          <w:lang w:val="en-US"/>
        </w:rPr>
        <w:t xml:space="preserve"> </w:t>
      </w:r>
      <w:r w:rsidR="00310BAF" w:rsidRPr="002A6BF2">
        <w:rPr>
          <w:lang w:val="en-US"/>
        </w:rPr>
        <w:t>because if buffered insufficiently, cell pellets appeared dark</w:t>
      </w:r>
      <w:r w:rsidR="00421EEA" w:rsidRPr="002A6BF2">
        <w:rPr>
          <w:lang w:val="en-US"/>
        </w:rPr>
        <w:t xml:space="preserve"> and flaviolin accumulation in the supernatant</w:t>
      </w:r>
      <w:r w:rsidR="00310BAF" w:rsidRPr="002A6BF2">
        <w:rPr>
          <w:lang w:val="en-US"/>
        </w:rPr>
        <w:t xml:space="preserve"> </w:t>
      </w:r>
      <w:r w:rsidR="00421EEA" w:rsidRPr="002A6BF2">
        <w:rPr>
          <w:lang w:val="en-US"/>
        </w:rPr>
        <w:t xml:space="preserve">was distinctly reduced </w:t>
      </w:r>
      <w:r w:rsidR="00310BAF" w:rsidRPr="002A6BF2">
        <w:rPr>
          <w:lang w:val="en-US"/>
        </w:rPr>
        <w:t xml:space="preserve">(Supplementary </w:t>
      </w:r>
      <w:r w:rsidR="00325010" w:rsidRPr="002A6BF2">
        <w:rPr>
          <w:lang w:val="en-US"/>
        </w:rPr>
        <w:t>Fig.</w:t>
      </w:r>
      <w:r w:rsidR="00421EEA" w:rsidRPr="002A6BF2">
        <w:rPr>
          <w:lang w:val="en-US"/>
        </w:rPr>
        <w:t xml:space="preserve"> </w:t>
      </w:r>
      <w:r w:rsidR="00965039" w:rsidRPr="002A6BF2">
        <w:rPr>
          <w:lang w:val="en-US"/>
        </w:rPr>
        <w:t>S12</w:t>
      </w:r>
      <w:r w:rsidR="00310BAF" w:rsidRPr="002A6BF2">
        <w:rPr>
          <w:lang w:val="en-US"/>
        </w:rPr>
        <w:t>).</w:t>
      </w:r>
    </w:p>
    <w:p w14:paraId="1F5351DE" w14:textId="6142072F" w:rsidR="00A220D9" w:rsidRPr="002A6BF2" w:rsidRDefault="003B73AE" w:rsidP="00B84A00">
      <w:pPr>
        <w:spacing w:line="276" w:lineRule="auto"/>
        <w:jc w:val="both"/>
        <w:rPr>
          <w:lang w:val="en-US"/>
        </w:rPr>
      </w:pPr>
      <w:r w:rsidRPr="002A6BF2">
        <w:rPr>
          <w:lang w:val="en-US"/>
        </w:rPr>
        <w:t>Flaviolin was quantified from culture supernatant</w:t>
      </w:r>
      <w:r w:rsidR="006764C5" w:rsidRPr="002A6BF2">
        <w:rPr>
          <w:lang w:val="en-US"/>
        </w:rPr>
        <w:t xml:space="preserve"> by comparing absorbance peak area in HPLC due to the</w:t>
      </w:r>
      <w:r w:rsidR="00900640" w:rsidRPr="002A6BF2">
        <w:rPr>
          <w:lang w:val="en-US"/>
        </w:rPr>
        <w:t xml:space="preserve"> unavailability</w:t>
      </w:r>
      <w:r w:rsidR="00BE6953" w:rsidRPr="002A6BF2">
        <w:rPr>
          <w:lang w:val="en-US"/>
        </w:rPr>
        <w:t xml:space="preserve"> </w:t>
      </w:r>
      <w:r w:rsidR="006764C5" w:rsidRPr="002A6BF2">
        <w:rPr>
          <w:lang w:val="en-US"/>
        </w:rPr>
        <w:t xml:space="preserve">of an authentic </w:t>
      </w:r>
      <w:r w:rsidR="00066ACD" w:rsidRPr="002A6BF2">
        <w:rPr>
          <w:lang w:val="en-US"/>
        </w:rPr>
        <w:t>standard</w:t>
      </w:r>
      <w:r w:rsidR="00B44978" w:rsidRPr="002A6BF2">
        <w:rPr>
          <w:lang w:val="en-US"/>
        </w:rPr>
        <w:t xml:space="preserve"> (Fig. 6</w:t>
      </w:r>
      <w:r w:rsidR="00BF6BA0" w:rsidRPr="002A6BF2">
        <w:rPr>
          <w:lang w:val="en-US"/>
        </w:rPr>
        <w:t xml:space="preserve"> A</w:t>
      </w:r>
      <w:r w:rsidR="00B44978" w:rsidRPr="002A6BF2">
        <w:rPr>
          <w:lang w:val="en-US"/>
        </w:rPr>
        <w:t>)</w:t>
      </w:r>
      <w:r w:rsidR="006764C5" w:rsidRPr="002A6BF2">
        <w:rPr>
          <w:lang w:val="en-US"/>
        </w:rPr>
        <w:t xml:space="preserve">. </w:t>
      </w:r>
      <w:r w:rsidR="00792308" w:rsidRPr="002A6BF2">
        <w:rPr>
          <w:lang w:val="en-US"/>
        </w:rPr>
        <w:t>HPLC analysis confirm</w:t>
      </w:r>
      <w:r w:rsidR="00AE1467" w:rsidRPr="002A6BF2">
        <w:rPr>
          <w:lang w:val="en-US"/>
        </w:rPr>
        <w:t>ed</w:t>
      </w:r>
      <w:r w:rsidR="00792308" w:rsidRPr="002A6BF2">
        <w:rPr>
          <w:lang w:val="en-US"/>
        </w:rPr>
        <w:t xml:space="preserve"> the </w:t>
      </w:r>
      <w:r w:rsidR="00DA6853" w:rsidRPr="002A6BF2">
        <w:rPr>
          <w:lang w:val="en-US"/>
        </w:rPr>
        <w:t xml:space="preserve">previously identified </w:t>
      </w:r>
      <w:r w:rsidR="00792308" w:rsidRPr="002A6BF2">
        <w:rPr>
          <w:lang w:val="en-US"/>
        </w:rPr>
        <w:t xml:space="preserve">positive effect of </w:t>
      </w:r>
      <w:r w:rsidR="00792308" w:rsidRPr="002A6BF2">
        <w:rPr>
          <w:rFonts w:ascii="Arial" w:hAnsi="Arial" w:cs="Arial"/>
          <w:lang w:val="en-US"/>
        </w:rPr>
        <w:t>Δ</w:t>
      </w:r>
      <w:r w:rsidR="00792308" w:rsidRPr="002A6BF2">
        <w:rPr>
          <w:i/>
          <w:lang w:val="en-US"/>
        </w:rPr>
        <w:t>gcd</w:t>
      </w:r>
      <w:r w:rsidR="00792308" w:rsidRPr="002A6BF2">
        <w:rPr>
          <w:lang w:val="en-US"/>
        </w:rPr>
        <w:t xml:space="preserve"> on </w:t>
      </w:r>
      <w:r w:rsidR="00DA6853" w:rsidRPr="002A6BF2">
        <w:rPr>
          <w:lang w:val="en-US"/>
        </w:rPr>
        <w:t xml:space="preserve">polyketide </w:t>
      </w:r>
      <w:r w:rsidR="00792308" w:rsidRPr="002A6BF2">
        <w:rPr>
          <w:lang w:val="en-US"/>
        </w:rPr>
        <w:t xml:space="preserve">production from glucose </w:t>
      </w:r>
      <w:r w:rsidR="00AE1467" w:rsidRPr="002A6BF2">
        <w:rPr>
          <w:lang w:val="en-US"/>
        </w:rPr>
        <w:t xml:space="preserve">with an </w:t>
      </w:r>
      <w:r w:rsidR="00792308" w:rsidRPr="002A6BF2">
        <w:rPr>
          <w:lang w:val="en-US"/>
        </w:rPr>
        <w:t>increas</w:t>
      </w:r>
      <w:r w:rsidR="00AE1467" w:rsidRPr="002A6BF2">
        <w:rPr>
          <w:lang w:val="en-US"/>
        </w:rPr>
        <w:t>ed</w:t>
      </w:r>
      <w:r w:rsidR="00792308" w:rsidRPr="002A6BF2">
        <w:rPr>
          <w:lang w:val="en-US"/>
        </w:rPr>
        <w:t xml:space="preserve"> flaviolin titer by about 25%</w:t>
      </w:r>
      <w:r w:rsidR="00417BBB" w:rsidRPr="002A6BF2">
        <w:rPr>
          <w:lang w:val="en-US"/>
        </w:rPr>
        <w:t xml:space="preserve"> compared to</w:t>
      </w:r>
      <w:r w:rsidR="0025514D" w:rsidRPr="002A6BF2">
        <w:rPr>
          <w:lang w:val="en-US"/>
        </w:rPr>
        <w:t xml:space="preserve"> the</w:t>
      </w:r>
      <w:r w:rsidR="00417BBB" w:rsidRPr="002A6BF2">
        <w:rPr>
          <w:lang w:val="en-US"/>
        </w:rPr>
        <w:t xml:space="preserve"> parental GRC3</w:t>
      </w:r>
      <w:r w:rsidR="00417BBB" w:rsidRPr="002A6BF2">
        <w:rPr>
          <w:rFonts w:ascii="Arial" w:hAnsi="Arial" w:cs="Arial"/>
          <w:lang w:val="en-US"/>
        </w:rPr>
        <w:t>Δ</w:t>
      </w:r>
      <w:r w:rsidR="00417BBB" w:rsidRPr="002A6BF2">
        <w:rPr>
          <w:lang w:val="en-US"/>
        </w:rPr>
        <w:t>6 flaviolin producer</w:t>
      </w:r>
      <w:r w:rsidR="00792308" w:rsidRPr="002A6BF2">
        <w:rPr>
          <w:lang w:val="en-US"/>
        </w:rPr>
        <w:t xml:space="preserve">. </w:t>
      </w:r>
      <w:r w:rsidR="000E2B2A" w:rsidRPr="002A6BF2">
        <w:rPr>
          <w:lang w:val="en-US"/>
        </w:rPr>
        <w:t>A</w:t>
      </w:r>
      <w:r w:rsidR="00792308" w:rsidRPr="002A6BF2">
        <w:rPr>
          <w:lang w:val="en-US"/>
        </w:rPr>
        <w:t>ddition of form</w:t>
      </w:r>
      <w:r w:rsidR="00900640" w:rsidRPr="002A6BF2">
        <w:rPr>
          <w:lang w:val="en-US"/>
        </w:rPr>
        <w:t>ate</w:t>
      </w:r>
      <w:r w:rsidR="000E2B2A" w:rsidRPr="002A6BF2">
        <w:rPr>
          <w:lang w:val="en-US"/>
        </w:rPr>
        <w:t xml:space="preserve"> also significantly increased the flaviolin titer, but this effect was abolished upon deletion of </w:t>
      </w:r>
      <w:r w:rsidR="000E2B2A" w:rsidRPr="002A6BF2">
        <w:rPr>
          <w:i/>
          <w:iCs/>
          <w:lang w:val="en-US"/>
        </w:rPr>
        <w:t>gcd</w:t>
      </w:r>
      <w:r w:rsidR="00792308" w:rsidRPr="002A6BF2">
        <w:rPr>
          <w:lang w:val="en-US"/>
        </w:rPr>
        <w:t xml:space="preserve">. </w:t>
      </w:r>
      <w:r w:rsidR="00A220D9" w:rsidRPr="002A6BF2">
        <w:rPr>
          <w:lang w:val="en-US"/>
        </w:rPr>
        <w:t xml:space="preserve">Notably, both, deletion of </w:t>
      </w:r>
      <w:r w:rsidR="00887D16" w:rsidRPr="002A6BF2">
        <w:rPr>
          <w:lang w:val="en-US"/>
        </w:rPr>
        <w:t xml:space="preserve">Gcd </w:t>
      </w:r>
      <w:r w:rsidR="00D07282" w:rsidRPr="002A6BF2">
        <w:rPr>
          <w:lang w:val="en-US"/>
        </w:rPr>
        <w:t xml:space="preserve">and </w:t>
      </w:r>
      <w:r w:rsidR="00A220D9" w:rsidRPr="002A6BF2">
        <w:rPr>
          <w:lang w:val="en-US"/>
        </w:rPr>
        <w:t>supplementation of form</w:t>
      </w:r>
      <w:r w:rsidR="00900640" w:rsidRPr="002A6BF2">
        <w:rPr>
          <w:lang w:val="en-US"/>
        </w:rPr>
        <w:t>ate</w:t>
      </w:r>
      <w:r w:rsidR="005E5D3C" w:rsidRPr="002A6BF2">
        <w:rPr>
          <w:lang w:val="en-US"/>
        </w:rPr>
        <w:t xml:space="preserve"> </w:t>
      </w:r>
      <w:r w:rsidR="00D07282" w:rsidRPr="002A6BF2">
        <w:rPr>
          <w:lang w:val="en-US"/>
        </w:rPr>
        <w:t xml:space="preserve">changes </w:t>
      </w:r>
      <w:r w:rsidR="00A220D9" w:rsidRPr="002A6BF2">
        <w:rPr>
          <w:lang w:val="en-US"/>
        </w:rPr>
        <w:t xml:space="preserve">formation of </w:t>
      </w:r>
      <w:r w:rsidR="00D07282" w:rsidRPr="002A6BF2">
        <w:rPr>
          <w:lang w:val="en-US"/>
        </w:rPr>
        <w:t>reducing equivalents (</w:t>
      </w:r>
      <w:r w:rsidR="00A220D9" w:rsidRPr="002A6BF2">
        <w:rPr>
          <w:lang w:val="en-US"/>
        </w:rPr>
        <w:t xml:space="preserve">NADPH </w:t>
      </w:r>
      <w:r w:rsidR="00D07282" w:rsidRPr="002A6BF2">
        <w:rPr>
          <w:lang w:val="en-US"/>
        </w:rPr>
        <w:t xml:space="preserve">and </w:t>
      </w:r>
      <w:r w:rsidR="00A220D9" w:rsidRPr="002A6BF2">
        <w:rPr>
          <w:lang w:val="en-US"/>
        </w:rPr>
        <w:t>NADH</w:t>
      </w:r>
      <w:r w:rsidR="00AD1CB7" w:rsidRPr="002A6BF2">
        <w:rPr>
          <w:lang w:val="en-US"/>
        </w:rPr>
        <w:t>)</w:t>
      </w:r>
      <w:r w:rsidR="00D07282" w:rsidRPr="002A6BF2">
        <w:rPr>
          <w:lang w:val="en-US"/>
        </w:rPr>
        <w:t>, either</w:t>
      </w:r>
      <w:r w:rsidR="00A220D9" w:rsidRPr="002A6BF2">
        <w:rPr>
          <w:lang w:val="en-US"/>
        </w:rPr>
        <w:t xml:space="preserve"> by forcing the use of glucose-6-phosphate dehydrogenase </w:t>
      </w:r>
      <w:r w:rsidR="00887D16" w:rsidRPr="002A6BF2">
        <w:rPr>
          <w:lang w:val="en-US"/>
        </w:rPr>
        <w:fldChar w:fldCharType="begin" w:fldLock="1"/>
      </w:r>
      <w:r w:rsidR="005215A2" w:rsidRPr="002A6BF2">
        <w:rPr>
          <w:lang w:val="en-US"/>
        </w:rPr>
        <w:instrText>ADDIN CSL_CITATION {"citationItems":[{"id":"ITEM-1","itemData":{"DOI":"10.1128/msystems.00014-21","ISSN":"23795077","abstract":"Protein families have likely arisen during evolution by gene duplication and divergence followed by neofunctionalization. While this phenomenon is well documented for catabolic activities (typical of environmental bacteria that colonize highly polluted niches), the coexistence of multiple isozymes in central carbon catabolism remains relatively unexplored. Glucose-6-phosphate dehydrogenase (G6PDH) is widely distributed in nature and catalyzes the first committing step in the oxidative branch of the pentose phosphate (PP) pathway, feeding either the reductive PP or the Entner-Doudoroff pathway. Besides its role in central carbon metabolism, this dehydrogenase provides reduced cofactors, thereby affecting redox balance. Although G6PDH is typically considered to display specificity toward NADP + , some variants accept NAD + similarly or even preferentially. Furthermore, the number of G6PDH isozymes encoded in bacterial genomes varies from none to more than four orthologues. On this background, we systematically analyzed the interplay of the three G6PDH isoforms of the soil bacterium Pseudomonas putida KT2440 from genomic, genetic, and biochemical perspectives. P. putida represents an ideal model to tackle this endeavor, as its genome harbors gene orthologues for most dehydrogenases in central carbon metabolism. We show that the three G6PDHs of strain KT2440 have different cofactor specificities and that the isoforms encoded by zwfA and zwfB carry most of the activity, acting as metabolic “gatekeepers” for carbon sources that enter at different nodes of the biochemical network. Moreover, we demonstrate how multiplication of G6PDH isoforms is a widespread strategy in bacteria, correlating with the presence of an incomplete Embden-Meyerhof-Parnas pathway. The abundance of G6PDH isoforms in these species goes hand in hand with low NADP + affinity, at least in one isozyme. We propose that gene duplication and relaxation in cofactor specificity is an evolutionary strategy toward balancing the relative production of NADPH and NADH. IMPORTANCE Protein families have likely arisen during evolution by gene duplication and divergence followed by neofunctionalization. While this phenomenon is well documented for catabolic activities (typical of environmental bacteria that colonize highly polluted niches), the coexistence of multiple isozymes in central carbon catabolism remains relatively unexplored. We have adopted the metabolically versatile soil bacterium Pseudomona…","author":[{"dropping-particle":"","family":"Volke","given":"Daniel Christoph","non-dropping-particle":"","parse-names":false,"suffix":""},{"dropping-particle":"","family":"Olavarría","given":"Karel","non-dropping-particle":"","parse-names":false,"suffix":""},{"dropping-particle":"","family":"Nikel","given":"Pablo Iván","non-dropping-particle":"","parse-names":false,"suffix":""}],"container-title":"mSystems","id":"ITEM-1","issue":"2","issued":{"date-parts":[["2021"]]},"title":"Cofactor Specificity of Glucose-6-Phosphate Dehydrogenase Isozymes in &lt;i&gt;Pseudomonas putida&lt;/i&gt; Reveals a General Principle Underlying Glycolytic Strategies in Bacteria","type":"article-journal","volume":"6"},"uris":["http://www.mendeley.com/documents/?uuid=c7ec5e19-2e00-46fd-846b-fa21650850d7"]}],"mendeley":{"formattedCitation":"(Daniel Christoph Volke et al., 2021)","manualFormatting":"(Volke et al., 2021)","plainTextFormattedCitation":"(Daniel Christoph Volke et al., 2021)","previouslyFormattedCitation":"(Daniel Christoph Volke et al., 2021)"},"properties":{"noteIndex":0},"schema":"https://github.com/citation-style-language/schema/raw/master/csl-citation.json"}</w:instrText>
      </w:r>
      <w:r w:rsidR="00887D16" w:rsidRPr="002A6BF2">
        <w:rPr>
          <w:lang w:val="en-US"/>
        </w:rPr>
        <w:fldChar w:fldCharType="separate"/>
      </w:r>
      <w:r w:rsidR="00304BFA" w:rsidRPr="002A6BF2">
        <w:rPr>
          <w:noProof/>
          <w:lang w:val="en-US"/>
        </w:rPr>
        <w:t>(Volke et al., 2021)</w:t>
      </w:r>
      <w:r w:rsidR="00887D16" w:rsidRPr="002A6BF2">
        <w:rPr>
          <w:lang w:val="en-US"/>
        </w:rPr>
        <w:fldChar w:fldCharType="end"/>
      </w:r>
      <w:r w:rsidR="00887D16" w:rsidRPr="002A6BF2">
        <w:rPr>
          <w:lang w:val="en-US"/>
        </w:rPr>
        <w:t xml:space="preserve"> </w:t>
      </w:r>
      <w:r w:rsidR="00A220D9" w:rsidRPr="002A6BF2">
        <w:rPr>
          <w:lang w:val="en-US"/>
        </w:rPr>
        <w:t>or</w:t>
      </w:r>
      <w:r w:rsidR="00D07282" w:rsidRPr="002A6BF2">
        <w:rPr>
          <w:lang w:val="en-US"/>
        </w:rPr>
        <w:t xml:space="preserve"> through</w:t>
      </w:r>
      <w:r w:rsidR="00A220D9" w:rsidRPr="002A6BF2">
        <w:rPr>
          <w:lang w:val="en-US"/>
        </w:rPr>
        <w:t xml:space="preserve"> formate dehydrogenase</w:t>
      </w:r>
      <w:r w:rsidR="00CA3734" w:rsidRPr="002A6BF2">
        <w:rPr>
          <w:lang w:val="en-US"/>
        </w:rPr>
        <w:t>s</w:t>
      </w:r>
      <w:r w:rsidR="00887D16" w:rsidRPr="002A6BF2">
        <w:rPr>
          <w:lang w:val="en-US"/>
        </w:rPr>
        <w:t xml:space="preserve"> </w:t>
      </w:r>
      <w:r w:rsidR="00887D16" w:rsidRPr="002A6BF2">
        <w:rPr>
          <w:lang w:val="en-US"/>
        </w:rPr>
        <w:fldChar w:fldCharType="begin" w:fldLock="1"/>
      </w:r>
      <w:r w:rsidR="00D40894" w:rsidRPr="002A6BF2">
        <w:rPr>
          <w:lang w:val="en-US"/>
        </w:rPr>
        <w:instrText>ADDIN CSL_CITATION {"citationItems":[{"id":"ITEM-1","itemData":{"DOI":"10.1002/elsc.201600072","ISSN":"16182863","abstract":"Pseudomonas putida efficiently utilizes many different carbon sources without the formation of byproducts even under conditions of stress. This implies a high degree of flexibility to cope with conditions that require a significantly altered distribution of carbon to either biomass or energy in the form of NADH. In the literature, co-feeding of the reduced C1 compound formate to Escherichia coli heterologously expressing the NAD+-dependent formate dehydrogenase of the yeast Candida boidinii was demonstrated to boost various NADH-demanding applications. Pseudomonas putida as emerging biotechnological workhorse is inherently equipped with an NAD+-dependent formate dehydrogenase encouraging us to investigate the use of formate and its effect on P. putida’s metabolism. Hence, this study provides a detailed insight into the co-utilization of formate and glucose by P. putida. Our results show that the addition of formate leads to a high increase in the NADH regeneration rate resulting in a very high biomass yield on glucose. Metabolic flux analysis revealed a significant flux rerouting from catabolism to anabolism. These metabolic insights argue further for P. putida as a host for redox cofactor demanding bioprocesses.","author":[{"dropping-particle":"","family":"Zobel","given":"Sebastian","non-dropping-particle":"","parse-names":false,"suffix":""},{"dropping-particle":"","family":"Kuepper","given":"Jannis","non-dropping-particle":"","parse-names":false,"suffix":""},{"dropping-particle":"","family":"Ebert","given":"Birgitta","non-dropping-particle":"","parse-names":false,"suffix":""},{"dropping-particle":"","family":"Wierckx","given":"Nick","non-dropping-particle":"","parse-names":false,"suffix":""},{"dropping-particle":"","family":"Blank","given":"Lars M.","non-dropping-particle":"","parse-names":false,"suffix":""}],"container-title":"Engineering in Life Sciences","id":"ITEM-1","issue":"1","issued":{"date-parts":[["2017"]]},"page":"47-57","title":"Metabolic response of &lt;i&gt;Pseudomonas putida&lt;/i&gt; to increased NADH regeneration rates","type":"article-journal","volume":"17"},"uris":["http://www.mendeley.com/documents/?uuid=cda0aaad-3308-4eee-a944-6a386595c572"]}],"mendeley":{"formattedCitation":"(Zobel et al., 2017)","plainTextFormattedCitation":"(Zobel et al., 2017)","previouslyFormattedCitation":"(Zobel et al., 2017)"},"properties":{"noteIndex":0},"schema":"https://github.com/citation-style-language/schema/raw/master/csl-citation.json"}</w:instrText>
      </w:r>
      <w:r w:rsidR="00887D16" w:rsidRPr="002A6BF2">
        <w:rPr>
          <w:lang w:val="en-US"/>
        </w:rPr>
        <w:fldChar w:fldCharType="separate"/>
      </w:r>
      <w:r w:rsidR="00B255F3" w:rsidRPr="002A6BF2">
        <w:rPr>
          <w:noProof/>
          <w:lang w:val="en-US"/>
        </w:rPr>
        <w:t>(Zobel et al., 2017)</w:t>
      </w:r>
      <w:r w:rsidR="00887D16" w:rsidRPr="002A6BF2">
        <w:rPr>
          <w:lang w:val="en-US"/>
        </w:rPr>
        <w:fldChar w:fldCharType="end"/>
      </w:r>
      <w:r w:rsidR="00A220D9" w:rsidRPr="002A6BF2">
        <w:rPr>
          <w:lang w:val="en-US"/>
        </w:rPr>
        <w:t xml:space="preserve">. </w:t>
      </w:r>
      <w:r w:rsidR="00D07282" w:rsidRPr="002A6BF2">
        <w:rPr>
          <w:lang w:val="en-US"/>
        </w:rPr>
        <w:t>This could be a reason why these two approaches do</w:t>
      </w:r>
      <w:r w:rsidR="001F3AAB" w:rsidRPr="002A6BF2">
        <w:rPr>
          <w:lang w:val="en-US"/>
        </w:rPr>
        <w:t xml:space="preserve"> </w:t>
      </w:r>
      <w:r w:rsidR="00D07282" w:rsidRPr="002A6BF2">
        <w:rPr>
          <w:lang w:val="en-US"/>
        </w:rPr>
        <w:t>n</w:t>
      </w:r>
      <w:r w:rsidR="001F3AAB" w:rsidRPr="002A6BF2">
        <w:rPr>
          <w:lang w:val="en-US"/>
        </w:rPr>
        <w:t>o</w:t>
      </w:r>
      <w:r w:rsidR="00D07282" w:rsidRPr="002A6BF2">
        <w:rPr>
          <w:lang w:val="en-US"/>
        </w:rPr>
        <w:t>t cumulatively increase flaviolin titers.</w:t>
      </w:r>
    </w:p>
    <w:p w14:paraId="5E19CD29" w14:textId="72CA86F4" w:rsidR="00792308" w:rsidRPr="002A6BF2" w:rsidRDefault="00F21DBB" w:rsidP="00B84A00">
      <w:pPr>
        <w:spacing w:line="276" w:lineRule="auto"/>
        <w:jc w:val="both"/>
        <w:rPr>
          <w:lang w:val="en-US"/>
        </w:rPr>
      </w:pPr>
      <w:r w:rsidRPr="002A6BF2">
        <w:rPr>
          <w:lang w:val="en-US"/>
        </w:rPr>
        <w:t xml:space="preserve">The </w:t>
      </w:r>
      <w:r w:rsidR="00792308" w:rsidRPr="002A6BF2">
        <w:rPr>
          <w:lang w:val="en-US"/>
        </w:rPr>
        <w:t xml:space="preserve">promoter exchange </w:t>
      </w:r>
      <w:r w:rsidR="00900640" w:rsidRPr="002A6BF2">
        <w:rPr>
          <w:lang w:val="en-US"/>
        </w:rPr>
        <w:t xml:space="preserve">of </w:t>
      </w:r>
      <w:r w:rsidR="00CC49B7" w:rsidRPr="002A6BF2">
        <w:rPr>
          <w:i/>
          <w:lang w:val="en-US"/>
        </w:rPr>
        <w:t>P</w:t>
      </w:r>
      <w:r w:rsidR="00CC49B7" w:rsidRPr="002A6BF2">
        <w:rPr>
          <w:i/>
          <w:vertAlign w:val="subscript"/>
          <w:lang w:val="en-US"/>
        </w:rPr>
        <w:t>gltA</w:t>
      </w:r>
      <w:r w:rsidR="00CC49B7" w:rsidRPr="002A6BF2">
        <w:rPr>
          <w:lang w:val="en-US"/>
        </w:rPr>
        <w:t>::</w:t>
      </w:r>
      <w:r w:rsidR="00CC49B7" w:rsidRPr="002A6BF2">
        <w:rPr>
          <w:i/>
          <w:lang w:val="en-US"/>
        </w:rPr>
        <w:t>P</w:t>
      </w:r>
      <w:r w:rsidR="00CC49B7" w:rsidRPr="002A6BF2">
        <w:rPr>
          <w:i/>
          <w:vertAlign w:val="subscript"/>
          <w:lang w:val="en-US"/>
        </w:rPr>
        <w:t>14a</w:t>
      </w:r>
      <w:r w:rsidR="00CC49B7" w:rsidRPr="002A6BF2">
        <w:rPr>
          <w:i/>
          <w:lang w:val="en-US"/>
        </w:rPr>
        <w:t>*</w:t>
      </w:r>
      <w:r w:rsidR="00900640" w:rsidRPr="002A6BF2">
        <w:rPr>
          <w:lang w:val="en-US"/>
        </w:rPr>
        <w:t xml:space="preserve"> </w:t>
      </w:r>
      <w:r w:rsidR="00FF6C38" w:rsidRPr="002A6BF2">
        <w:rPr>
          <w:lang w:val="en-US"/>
        </w:rPr>
        <w:t xml:space="preserve">caused a </w:t>
      </w:r>
      <w:r w:rsidRPr="002A6BF2">
        <w:rPr>
          <w:lang w:val="en-US"/>
        </w:rPr>
        <w:t>significant</w:t>
      </w:r>
      <w:r w:rsidR="00887D16" w:rsidRPr="002A6BF2">
        <w:rPr>
          <w:lang w:val="en-US"/>
        </w:rPr>
        <w:t xml:space="preserve"> additional</w:t>
      </w:r>
      <w:r w:rsidR="00792308" w:rsidRPr="002A6BF2">
        <w:rPr>
          <w:lang w:val="en-US"/>
        </w:rPr>
        <w:t xml:space="preserve"> </w:t>
      </w:r>
      <w:r w:rsidR="00FF6C38" w:rsidRPr="002A6BF2">
        <w:rPr>
          <w:lang w:val="en-US"/>
        </w:rPr>
        <w:t xml:space="preserve">increase </w:t>
      </w:r>
      <w:r w:rsidR="00887D16" w:rsidRPr="002A6BF2">
        <w:rPr>
          <w:lang w:val="en-US"/>
        </w:rPr>
        <w:t xml:space="preserve">of </w:t>
      </w:r>
      <w:r w:rsidR="00FF6C38" w:rsidRPr="002A6BF2">
        <w:rPr>
          <w:lang w:val="en-US"/>
        </w:rPr>
        <w:t xml:space="preserve">the </w:t>
      </w:r>
      <w:r w:rsidRPr="002A6BF2">
        <w:rPr>
          <w:lang w:val="en-US"/>
        </w:rPr>
        <w:t xml:space="preserve">flaviolin titer </w:t>
      </w:r>
      <w:r w:rsidR="00FF6C38" w:rsidRPr="002A6BF2">
        <w:rPr>
          <w:lang w:val="en-US"/>
        </w:rPr>
        <w:t xml:space="preserve">by 7% </w:t>
      </w:r>
      <w:r w:rsidRPr="002A6BF2">
        <w:rPr>
          <w:lang w:val="en-US"/>
        </w:rPr>
        <w:t xml:space="preserve">compared to the </w:t>
      </w:r>
      <w:r w:rsidR="00887D16" w:rsidRPr="002A6BF2">
        <w:rPr>
          <w:lang w:val="en-US"/>
        </w:rPr>
        <w:t>Gcd deletion</w:t>
      </w:r>
      <w:r w:rsidRPr="002A6BF2">
        <w:rPr>
          <w:lang w:val="en-US"/>
        </w:rPr>
        <w:t>,</w:t>
      </w:r>
      <w:r w:rsidR="007869CA" w:rsidRPr="002A6BF2">
        <w:rPr>
          <w:lang w:val="en-US"/>
        </w:rPr>
        <w:t xml:space="preserve"> </w:t>
      </w:r>
      <w:r w:rsidR="00792308" w:rsidRPr="002A6BF2">
        <w:rPr>
          <w:lang w:val="en-US"/>
        </w:rPr>
        <w:t xml:space="preserve">while constitutive </w:t>
      </w:r>
      <w:r w:rsidR="00792308" w:rsidRPr="002A6BF2">
        <w:rPr>
          <w:lang w:val="en-US"/>
        </w:rPr>
        <w:lastRenderedPageBreak/>
        <w:t>genomic expression</w:t>
      </w:r>
      <w:r w:rsidR="005E5D3C" w:rsidRPr="002A6BF2">
        <w:rPr>
          <w:lang w:val="en-US"/>
        </w:rPr>
        <w:t xml:space="preserve"> from </w:t>
      </w:r>
      <w:r w:rsidR="005E5D3C" w:rsidRPr="002A6BF2">
        <w:rPr>
          <w:i/>
          <w:iCs/>
          <w:lang w:val="en-US"/>
        </w:rPr>
        <w:t>P</w:t>
      </w:r>
      <w:r w:rsidR="005E5D3C" w:rsidRPr="002A6BF2">
        <w:rPr>
          <w:i/>
          <w:iCs/>
          <w:vertAlign w:val="subscript"/>
          <w:lang w:val="en-US"/>
        </w:rPr>
        <w:t>14f</w:t>
      </w:r>
      <w:r w:rsidR="00792308" w:rsidRPr="002A6BF2">
        <w:rPr>
          <w:lang w:val="en-US"/>
        </w:rPr>
        <w:t xml:space="preserve"> of CgACC</w:t>
      </w:r>
      <w:r w:rsidR="00B332E7" w:rsidRPr="002A6BF2">
        <w:rPr>
          <w:lang w:val="en-US"/>
        </w:rPr>
        <w:t xml:space="preserve"> </w:t>
      </w:r>
      <w:r w:rsidR="00AF4B32" w:rsidRPr="002A6BF2">
        <w:rPr>
          <w:lang w:val="en-US"/>
        </w:rPr>
        <w:t xml:space="preserve">at integration site PVLB_23545-40 </w:t>
      </w:r>
      <w:r w:rsidR="0038153C" w:rsidRPr="002A6BF2">
        <w:rPr>
          <w:lang w:val="en-US"/>
        </w:rPr>
        <w:t>had</w:t>
      </w:r>
      <w:r w:rsidR="00792308" w:rsidRPr="002A6BF2">
        <w:rPr>
          <w:lang w:val="en-US"/>
        </w:rPr>
        <w:t xml:space="preserve"> no </w:t>
      </w:r>
      <w:r w:rsidR="0038153C" w:rsidRPr="002A6BF2">
        <w:rPr>
          <w:lang w:val="en-US"/>
        </w:rPr>
        <w:t>additional</w:t>
      </w:r>
      <w:r w:rsidR="00792308" w:rsidRPr="002A6BF2">
        <w:rPr>
          <w:lang w:val="en-US"/>
        </w:rPr>
        <w:t xml:space="preserve"> positive effect here</w:t>
      </w:r>
      <w:r w:rsidR="00B44978" w:rsidRPr="002A6BF2">
        <w:rPr>
          <w:lang w:val="en-US"/>
        </w:rPr>
        <w:t xml:space="preserve"> (Fig. 6</w:t>
      </w:r>
      <w:r w:rsidR="00BF6BA0" w:rsidRPr="002A6BF2">
        <w:rPr>
          <w:lang w:val="en-US"/>
        </w:rPr>
        <w:t xml:space="preserve"> A</w:t>
      </w:r>
      <w:r w:rsidR="00B44978" w:rsidRPr="002A6BF2">
        <w:rPr>
          <w:lang w:val="en-US"/>
        </w:rPr>
        <w:t>)</w:t>
      </w:r>
      <w:r w:rsidR="00792308" w:rsidRPr="002A6BF2">
        <w:rPr>
          <w:lang w:val="en-US"/>
        </w:rPr>
        <w:t xml:space="preserve">. </w:t>
      </w:r>
      <w:r w:rsidR="009A7D96" w:rsidRPr="002A6BF2">
        <w:rPr>
          <w:lang w:val="en-US"/>
        </w:rPr>
        <w:t xml:space="preserve">3-oxoacyl-ACP synthase III (FabH) is required for initiation of fatty acid biosynthesis </w:t>
      </w:r>
      <w:r w:rsidR="00D32C9C" w:rsidRPr="002A6BF2">
        <w:rPr>
          <w:lang w:val="en-US"/>
        </w:rPr>
        <w:fldChar w:fldCharType="begin" w:fldLock="1"/>
      </w:r>
      <w:r w:rsidR="00D32C9C" w:rsidRPr="002A6BF2">
        <w:rPr>
          <w:lang w:val="en-US"/>
        </w:rPr>
        <w:instrText>ADDIN CSL_CITATION {"citationItems":[{"id":"ITEM-1","itemData":{"author":[{"dropping-particle":"","family":"McNaught","given":"Kevin J.","non-dropping-particle":"","parse-names":false,"suffix":""},{"dropping-particle":"","family":"Kuatsjah","given":"Eugene","non-dropping-particle":"","parse-names":false,"suffix":""},{"dropping-particle":"","family":"Zahn","given":"Michael","non-dropping-particle":"","parse-names":false,"suffix":""},{"dropping-particle":"","family":"Prates","given":"Érica T.","non-dropping-particle":"","parse-names":false,"suffix":""},{"dropping-particle":"","family":"Shao","given":"Huiling","non-dropping-particle":"","parse-names":false,"suffix":""},{"dropping-particle":"","family":"Bentley","given":"Gayle J.","non-dropping-particle":"","parse-names":false,"suffix":""},{"dropping-particle":"","family":"Pickford","given":"Andrew R.","non-dropping-particle":"","parse-names":false,"suffix":""},{"dropping-particle":"","family":"Gruber","given":"Josephine N.","non-dropping-particle":"","parse-names":false,"suffix":""},{"dropping-particle":"V.","family":"Hestmark","given":"Kelley","non-dropping-particle":"","parse-names":false,"suffix":""},{"dropping-particle":"","family":"Jacobson","given":"Daniel A.","non-dropping-particle":"","parse-names":false,"suffix":""},{"dropping-particle":"","family":"Poirier","given":"Brenton C.","non-dropping-particle":"","parse-names":false,"suffix":""},{"dropping-particle":"","family":"Ling","given":"Chen","non-dropping-particle":"","parse-names":false,"suffix":""},{"dropping-particle":"","family":"Marchi","given":"Myrsini San","non-dropping-particle":"","parse-names":false,"suffix":""},{"dropping-particle":"","family":"Michener","given":"William E.","non-dropping-particle":"","parse-names":false,"suffix":""},{"dropping-particle":"","family":"Nicora","given":"Carrie D.","non-dropping-particle":"","parse-names":false,"suffix":""},{"dropping-particle":"","family":"Sanders","given":"Jacob N.","non-dropping-particle":"","parse-names":false,"suffix":""},{"dropping-particle":"","family":"Szostkiewicz","given":"Caralyn J.","non-dropping-particle":"","parse-names":false,"suffix":""},{"dropping-particle":"","family":"Veličković","given":"Dušan","non-dropping-particle":"","parse-names":false,"suffix":""},{"dropping-particle":"","family":"Zhou","given":"Mowei","non-dropping-particle":"","parse-names":false,"suffix":""},{"dropping-particle":"","family":"Munoz","given":"Nathalie","non-dropping-particle":"","parse-names":false,"suffix":""},{"dropping-particle":"","family":"Kim","given":"Young-Mo","non-dropping-particle":"","parse-names":false,"suffix":""},{"dropping-particle":"","family":"Magnuson","given":"Jon K.","non-dropping-particle":"","parse-names":false,"suffix":""},{"dropping-particle":"","family":"Burnum-Johnson","given":"Kristin E.","non-dropping-particle":"","parse-names":false,"suffix":""},{"dropping-particle":"","family":"Houk","given":"K.N.","non-dropping-particle":"","parse-names":false,"suffix":""},{"dropping-particle":"","family":"McGeehan","given":"John E.","non-dropping-particle":"","parse-names":false,"suffix":""},{"dropping-particle":"","family":"Johnson","given":"Christopher W.","non-dropping-particle":"","parse-names":false,"suffix":""},{"dropping-particle":"","family":"Beckham","given":"Gregg T.","non-dropping-particle":"","parse-names":false,"suffix":""}],"container-title":"Metabolic Engineering","id":"ITEM-1","issued":{"date-parts":[["2023"]]},"page":"193-203","title":"Initiation of fatty acid biosynthesis in &lt;i&gt;Pseudomonas putida&lt;/i&gt; KT2440","type":"article-journal","volume":"76"},"uris":["http://www.mendeley.com/documents/?uuid=0cf97a11-91b5-4b56-8791-4c43ad4690f4"]}],"mendeley":{"formattedCitation":"(McNaught et al., 2023)","plainTextFormattedCitation":"(McNaught et al., 2023)","previouslyFormattedCitation":"(McNaught et al., 2023)"},"properties":{"noteIndex":0},"schema":"https://github.com/citation-style-language/schema/raw/master/csl-citation.json"}</w:instrText>
      </w:r>
      <w:r w:rsidR="00D32C9C" w:rsidRPr="002A6BF2">
        <w:rPr>
          <w:lang w:val="en-US"/>
        </w:rPr>
        <w:fldChar w:fldCharType="separate"/>
      </w:r>
      <w:r w:rsidR="00D32C9C" w:rsidRPr="002A6BF2">
        <w:rPr>
          <w:noProof/>
          <w:lang w:val="en-US"/>
        </w:rPr>
        <w:t>(McNaught et al., 2023)</w:t>
      </w:r>
      <w:r w:rsidR="00D32C9C" w:rsidRPr="002A6BF2">
        <w:rPr>
          <w:lang w:val="en-US"/>
        </w:rPr>
        <w:fldChar w:fldCharType="end"/>
      </w:r>
      <w:r w:rsidR="009A7D96" w:rsidRPr="002A6BF2">
        <w:rPr>
          <w:lang w:val="en-US"/>
        </w:rPr>
        <w:t xml:space="preserve">. </w:t>
      </w:r>
      <w:r w:rsidR="00792308" w:rsidRPr="002A6BF2">
        <w:rPr>
          <w:lang w:val="en-US"/>
        </w:rPr>
        <w:t>Deletion of</w:t>
      </w:r>
      <w:r w:rsidRPr="002A6BF2">
        <w:rPr>
          <w:lang w:val="en-US"/>
        </w:rPr>
        <w:t xml:space="preserve"> a</w:t>
      </w:r>
      <w:r w:rsidR="00792308" w:rsidRPr="002A6BF2">
        <w:rPr>
          <w:lang w:val="en-US"/>
        </w:rPr>
        <w:t xml:space="preserve"> FabH homologue</w:t>
      </w:r>
      <w:r w:rsidR="0038153C" w:rsidRPr="002A6BF2">
        <w:rPr>
          <w:lang w:val="en-US"/>
        </w:rPr>
        <w:t>-encoding</w:t>
      </w:r>
      <w:r w:rsidR="00792308" w:rsidRPr="002A6BF2">
        <w:rPr>
          <w:lang w:val="en-US"/>
        </w:rPr>
        <w:t xml:space="preserve"> PVLB_18090</w:t>
      </w:r>
      <w:r w:rsidR="00593B4B" w:rsidRPr="002A6BF2">
        <w:rPr>
          <w:lang w:val="en-US"/>
        </w:rPr>
        <w:t xml:space="preserve"> (84.7%</w:t>
      </w:r>
      <w:r w:rsidR="00D165C6" w:rsidRPr="002A6BF2">
        <w:rPr>
          <w:lang w:val="en-US"/>
        </w:rPr>
        <w:t xml:space="preserve"> </w:t>
      </w:r>
      <w:r w:rsidR="00593B4B" w:rsidRPr="002A6BF2">
        <w:rPr>
          <w:lang w:val="en-US"/>
        </w:rPr>
        <w:t xml:space="preserve">aa identity to fabH_1 (PFL_1532) from </w:t>
      </w:r>
      <w:r w:rsidR="00593B4B" w:rsidRPr="002A6BF2">
        <w:rPr>
          <w:i/>
          <w:lang w:val="en-US"/>
        </w:rPr>
        <w:t>P. protegens</w:t>
      </w:r>
      <w:r w:rsidR="00593B4B" w:rsidRPr="002A6BF2">
        <w:rPr>
          <w:lang w:val="en-US"/>
        </w:rPr>
        <w:t xml:space="preserve"> Pf-5; 74.6%</w:t>
      </w:r>
      <w:r w:rsidR="00D165C6" w:rsidRPr="002A6BF2">
        <w:rPr>
          <w:lang w:val="en-US"/>
        </w:rPr>
        <w:t xml:space="preserve"> </w:t>
      </w:r>
      <w:r w:rsidR="00593B4B" w:rsidRPr="002A6BF2">
        <w:rPr>
          <w:lang w:val="en-US"/>
        </w:rPr>
        <w:t>aa identity to fabH</w:t>
      </w:r>
      <w:r w:rsidR="00526524" w:rsidRPr="002A6BF2">
        <w:rPr>
          <w:lang w:val="en-US"/>
        </w:rPr>
        <w:t>1</w:t>
      </w:r>
      <w:r w:rsidR="00593B4B" w:rsidRPr="002A6BF2">
        <w:rPr>
          <w:lang w:val="en-US"/>
        </w:rPr>
        <w:t xml:space="preserve"> (PA3286) from </w:t>
      </w:r>
      <w:r w:rsidR="00593B4B" w:rsidRPr="002A6BF2">
        <w:rPr>
          <w:i/>
          <w:lang w:val="en-US"/>
        </w:rPr>
        <w:t>P. aeruginosa</w:t>
      </w:r>
      <w:r w:rsidR="00593B4B" w:rsidRPr="002A6BF2">
        <w:rPr>
          <w:lang w:val="en-US"/>
        </w:rPr>
        <w:t xml:space="preserve"> PAO1)</w:t>
      </w:r>
      <w:r w:rsidR="00792308" w:rsidRPr="002A6BF2">
        <w:rPr>
          <w:lang w:val="en-US"/>
        </w:rPr>
        <w:t xml:space="preserve"> </w:t>
      </w:r>
      <w:r w:rsidR="00526524" w:rsidRPr="002A6BF2">
        <w:rPr>
          <w:lang w:val="en-US"/>
        </w:rPr>
        <w:fldChar w:fldCharType="begin" w:fldLock="1"/>
      </w:r>
      <w:r w:rsidR="00197038" w:rsidRPr="002A6BF2">
        <w:rPr>
          <w:lang w:val="en-US"/>
        </w:rPr>
        <w:instrText>ADDIN CSL_CITATION {"citationItems":[{"id":"ITEM-1","itemData":{"DOI":"10.1016/j.chemphyslip.2015.06.006","ISSN":"18732941","abstract":"The genus Pseudomonas is one of the most heterogeneous groups of eubacteria, presents in all major natural environments and in wide range of associations with plants and animals. The wide distribution of these bacteria is due to the use of specific mechanisms to adapt to environmental modifications. Generally, bacterial adaptation is only considered under the aspect of genes and protein expression, but lipids also play a pivotal role in bacterial functioning and homeostasis. This review resumes the mechanisms and regulations of pseudomonal glycerophospholipid synthesis, and the roles of glycerophospholipids in bacterial metabolism and homeostasis. Recently discovered specific pathways of P. aeruginosa lipid synthesis indicate the lineage dependent mechanisms of fatty acids homeostasis. Pseudomonas glycerophospholipids ensure structure functions and play important roles in bacterial adaptation to environmental modifications. The lipidome of Pseudomonas contains a typical eukaryotic glycerophospholipid - phosphatidylcholine -, which is involved in bacteria-host interactions. The ability of Pseudomonas to exploit eukaryotic lipids shows specific and original strategies developed by these microorganisms to succeed in their infectious process. All compiled data provide the demonstration of the importance of studying the Pseudomonas lipidome to inhibit the infectious potential of these highly versatile germs.","author":[{"dropping-particle":"","family":"Kondakova","given":"Tatiana","non-dropping-particle":"","parse-names":false,"suffix":""},{"dropping-particle":"","family":"D'Heygère","given":"François","non-dropping-particle":"","parse-names":false,"suffix":""},{"dropping-particle":"","family":"Feuilloley","given":"Marc J.","non-dropping-particle":"","parse-names":false,"suffix":""},{"dropping-particle":"","family":"Orange","given":"Nicole","non-dropping-particle":"","parse-names":false,"suffix":""},{"dropping-particle":"","family":"Heipieper","given":"Hermann J.","non-dropping-particle":"","parse-names":false,"suffix":""},{"dropping-particle":"","family":"Duclairoir Poc","given":"Cécile","non-dropping-particle":"","parse-names":false,"suffix":""}],"container-title":"Chemistry and Physics of Lipids","id":"ITEM-1","issued":{"date-parts":[["2015"]]},"page":"27-42","publisher":"Elsevier Ireland Ltd","title":"Glycerophospholipid synthesis and functions in &lt;i&gt;Pseudomonas&lt;/i&gt;","type":"article-journal","volume":"190"},"uris":["http://www.mendeley.com/documents/?uuid=f6477f6a-e1a7-4c58-af89-b2148b114293"]}],"mendeley":{"formattedCitation":"(Kondakova et al., 2015)","plainTextFormattedCitation":"(Kondakova et al., 2015)","previouslyFormattedCitation":"(Kondakova et al., 2015)"},"properties":{"noteIndex":0},"schema":"https://github.com/citation-style-language/schema/raw/master/csl-citation.json"}</w:instrText>
      </w:r>
      <w:r w:rsidR="00526524" w:rsidRPr="002A6BF2">
        <w:rPr>
          <w:lang w:val="en-US"/>
        </w:rPr>
        <w:fldChar w:fldCharType="separate"/>
      </w:r>
      <w:r w:rsidR="00D32C9C" w:rsidRPr="002A6BF2">
        <w:rPr>
          <w:noProof/>
          <w:lang w:val="en-US"/>
        </w:rPr>
        <w:t>(Kondakova et al., 2015)</w:t>
      </w:r>
      <w:r w:rsidR="00526524" w:rsidRPr="002A6BF2">
        <w:rPr>
          <w:lang w:val="en-US"/>
        </w:rPr>
        <w:fldChar w:fldCharType="end"/>
      </w:r>
      <w:r w:rsidR="00526524" w:rsidRPr="002A6BF2">
        <w:rPr>
          <w:lang w:val="en-US"/>
        </w:rPr>
        <w:t xml:space="preserve"> </w:t>
      </w:r>
      <w:r w:rsidR="0038153C" w:rsidRPr="002A6BF2">
        <w:rPr>
          <w:lang w:val="en-US"/>
        </w:rPr>
        <w:t xml:space="preserve">had </w:t>
      </w:r>
      <w:r w:rsidR="00792308" w:rsidRPr="002A6BF2">
        <w:rPr>
          <w:lang w:val="en-US"/>
        </w:rPr>
        <w:t>no effect</w:t>
      </w:r>
      <w:r w:rsidR="00856C27" w:rsidRPr="002A6BF2">
        <w:rPr>
          <w:lang w:val="en-US"/>
        </w:rPr>
        <w:t xml:space="preserve"> on </w:t>
      </w:r>
      <w:r w:rsidR="00900640" w:rsidRPr="002A6BF2">
        <w:rPr>
          <w:lang w:val="en-US"/>
        </w:rPr>
        <w:t xml:space="preserve">the </w:t>
      </w:r>
      <w:r w:rsidR="00856C27" w:rsidRPr="002A6BF2">
        <w:rPr>
          <w:lang w:val="en-US"/>
        </w:rPr>
        <w:t>flaviolin titer</w:t>
      </w:r>
      <w:r w:rsidR="00792308" w:rsidRPr="002A6BF2">
        <w:rPr>
          <w:lang w:val="en-US"/>
        </w:rPr>
        <w:t xml:space="preserve"> </w:t>
      </w:r>
      <w:r w:rsidR="0038153C" w:rsidRPr="002A6BF2">
        <w:rPr>
          <w:lang w:val="en-US"/>
        </w:rPr>
        <w:t>either.</w:t>
      </w:r>
      <w:r w:rsidR="00792308" w:rsidRPr="002A6BF2">
        <w:rPr>
          <w:lang w:val="en-US"/>
        </w:rPr>
        <w:t xml:space="preserve"> FabH</w:t>
      </w:r>
      <w:r w:rsidR="00593B4B" w:rsidRPr="002A6BF2">
        <w:rPr>
          <w:lang w:val="en-US"/>
        </w:rPr>
        <w:t>2</w:t>
      </w:r>
      <w:r w:rsidR="00792308" w:rsidRPr="002A6BF2">
        <w:rPr>
          <w:lang w:val="en-US"/>
        </w:rPr>
        <w:t xml:space="preserve"> </w:t>
      </w:r>
      <w:r w:rsidR="00E50E58" w:rsidRPr="002A6BF2">
        <w:rPr>
          <w:lang w:val="en-US"/>
        </w:rPr>
        <w:t>(</w:t>
      </w:r>
      <w:r w:rsidR="00792308" w:rsidRPr="002A6BF2">
        <w:rPr>
          <w:lang w:val="en-US"/>
        </w:rPr>
        <w:t>PVLB_17265</w:t>
      </w:r>
      <w:r w:rsidR="00E50E58" w:rsidRPr="002A6BF2">
        <w:rPr>
          <w:lang w:val="en-US"/>
        </w:rPr>
        <w:t>)</w:t>
      </w:r>
      <w:r w:rsidR="00593B4B" w:rsidRPr="002A6BF2">
        <w:rPr>
          <w:lang w:val="en-US"/>
        </w:rPr>
        <w:t xml:space="preserve"> (85.9%</w:t>
      </w:r>
      <w:r w:rsidR="00D165C6" w:rsidRPr="002A6BF2">
        <w:rPr>
          <w:lang w:val="en-US"/>
        </w:rPr>
        <w:t xml:space="preserve"> </w:t>
      </w:r>
      <w:r w:rsidR="00593B4B" w:rsidRPr="002A6BF2">
        <w:rPr>
          <w:lang w:val="en-US"/>
        </w:rPr>
        <w:t xml:space="preserve">aa identity to fabH_2 (PFL_1626) from </w:t>
      </w:r>
      <w:r w:rsidR="00593B4B" w:rsidRPr="002A6BF2">
        <w:rPr>
          <w:i/>
          <w:lang w:val="en-US"/>
        </w:rPr>
        <w:t>P. protegens</w:t>
      </w:r>
      <w:r w:rsidR="00593B4B" w:rsidRPr="002A6BF2">
        <w:rPr>
          <w:lang w:val="en-US"/>
        </w:rPr>
        <w:t xml:space="preserve"> Pf-5; 84.9%</w:t>
      </w:r>
      <w:r w:rsidR="00D165C6" w:rsidRPr="002A6BF2">
        <w:rPr>
          <w:lang w:val="en-US"/>
        </w:rPr>
        <w:t xml:space="preserve"> </w:t>
      </w:r>
      <w:r w:rsidR="00593B4B" w:rsidRPr="002A6BF2">
        <w:rPr>
          <w:lang w:val="en-US"/>
        </w:rPr>
        <w:t xml:space="preserve">aa identity to fabH (Pp_4379) from </w:t>
      </w:r>
      <w:r w:rsidR="00593B4B" w:rsidRPr="002A6BF2">
        <w:rPr>
          <w:i/>
          <w:lang w:val="en-US"/>
        </w:rPr>
        <w:t>P. putida</w:t>
      </w:r>
      <w:r w:rsidR="00593B4B" w:rsidRPr="002A6BF2">
        <w:rPr>
          <w:lang w:val="en-US"/>
        </w:rPr>
        <w:t xml:space="preserve"> KT2440)</w:t>
      </w:r>
      <w:r w:rsidR="00792308" w:rsidRPr="002A6BF2">
        <w:rPr>
          <w:lang w:val="en-US"/>
        </w:rPr>
        <w:t xml:space="preserve"> seems</w:t>
      </w:r>
      <w:r w:rsidR="0038153C" w:rsidRPr="002A6BF2">
        <w:rPr>
          <w:lang w:val="en-US"/>
        </w:rPr>
        <w:t xml:space="preserve"> to be</w:t>
      </w:r>
      <w:r w:rsidR="00792308" w:rsidRPr="002A6BF2">
        <w:rPr>
          <w:lang w:val="en-US"/>
        </w:rPr>
        <w:t xml:space="preserve"> essential for FAS initiation because </w:t>
      </w:r>
      <w:r w:rsidR="0038153C" w:rsidRPr="002A6BF2">
        <w:rPr>
          <w:lang w:val="en-US"/>
        </w:rPr>
        <w:t xml:space="preserve">multiple </w:t>
      </w:r>
      <w:r w:rsidR="00792308" w:rsidRPr="002A6BF2">
        <w:rPr>
          <w:lang w:val="en-US"/>
        </w:rPr>
        <w:t>deletion</w:t>
      </w:r>
      <w:r w:rsidR="0038153C" w:rsidRPr="002A6BF2">
        <w:rPr>
          <w:lang w:val="en-US"/>
        </w:rPr>
        <w:t xml:space="preserve"> attempt</w:t>
      </w:r>
      <w:r w:rsidR="00900640" w:rsidRPr="002A6BF2">
        <w:rPr>
          <w:lang w:val="en-US"/>
        </w:rPr>
        <w:t>s</w:t>
      </w:r>
      <w:r w:rsidR="00792308" w:rsidRPr="002A6BF2">
        <w:rPr>
          <w:lang w:val="en-US"/>
        </w:rPr>
        <w:t xml:space="preserve"> failed. </w:t>
      </w:r>
      <w:r w:rsidR="003805B1" w:rsidRPr="002A6BF2">
        <w:rPr>
          <w:lang w:val="en-US"/>
        </w:rPr>
        <w:t>A</w:t>
      </w:r>
      <w:r w:rsidR="00792308" w:rsidRPr="002A6BF2">
        <w:rPr>
          <w:lang w:val="en-US"/>
        </w:rPr>
        <w:t xml:space="preserve"> </w:t>
      </w:r>
      <w:r w:rsidR="00B332E7" w:rsidRPr="002A6BF2">
        <w:rPr>
          <w:lang w:val="en-US"/>
        </w:rPr>
        <w:t>m</w:t>
      </w:r>
      <w:r w:rsidR="00792308" w:rsidRPr="002A6BF2">
        <w:rPr>
          <w:lang w:val="en-US"/>
        </w:rPr>
        <w:t>a</w:t>
      </w:r>
      <w:r w:rsidR="00B332E7" w:rsidRPr="002A6BF2">
        <w:rPr>
          <w:lang w:val="en-US"/>
        </w:rPr>
        <w:t>lonyl-</w:t>
      </w:r>
      <w:r w:rsidR="00792308" w:rsidRPr="002A6BF2">
        <w:rPr>
          <w:lang w:val="en-US"/>
        </w:rPr>
        <w:t>CoA platform strain of the first generation</w:t>
      </w:r>
      <w:r w:rsidR="005A3F56" w:rsidRPr="002A6BF2">
        <w:rPr>
          <w:lang w:val="en-US"/>
        </w:rPr>
        <w:t xml:space="preserve"> (GRC3</w:t>
      </w:r>
      <w:r w:rsidR="005A3F56" w:rsidRPr="002A6BF2">
        <w:rPr>
          <w:rFonts w:ascii="Arial" w:hAnsi="Arial" w:cs="Arial"/>
          <w:lang w:val="en-US"/>
        </w:rPr>
        <w:t>Δ</w:t>
      </w:r>
      <w:r w:rsidR="005A3F56" w:rsidRPr="002A6BF2">
        <w:rPr>
          <w:lang w:val="en-US"/>
        </w:rPr>
        <w:t>6MC-I)</w:t>
      </w:r>
      <w:r w:rsidR="00792308" w:rsidRPr="002A6BF2">
        <w:rPr>
          <w:lang w:val="en-US"/>
        </w:rPr>
        <w:t xml:space="preserve"> </w:t>
      </w:r>
      <w:r w:rsidR="00900640" w:rsidRPr="002A6BF2">
        <w:rPr>
          <w:lang w:val="en-US"/>
        </w:rPr>
        <w:t>was</w:t>
      </w:r>
      <w:r w:rsidR="00792308" w:rsidRPr="002A6BF2">
        <w:rPr>
          <w:lang w:val="en-US"/>
        </w:rPr>
        <w:t xml:space="preserve"> made</w:t>
      </w:r>
      <w:r w:rsidR="003805B1" w:rsidRPr="002A6BF2">
        <w:rPr>
          <w:lang w:val="en-US"/>
        </w:rPr>
        <w:t xml:space="preserve"> by </w:t>
      </w:r>
      <w:r w:rsidRPr="002A6BF2">
        <w:rPr>
          <w:lang w:val="en-US"/>
        </w:rPr>
        <w:t xml:space="preserve">removal of the </w:t>
      </w:r>
      <w:r w:rsidRPr="002A6BF2">
        <w:rPr>
          <w:i/>
          <w:iCs/>
          <w:lang w:val="en-US"/>
        </w:rPr>
        <w:t>att</w:t>
      </w:r>
      <w:r w:rsidRPr="002A6BF2">
        <w:rPr>
          <w:i/>
          <w:lang w:val="en-US"/>
        </w:rPr>
        <w:t>Tn7</w:t>
      </w:r>
      <w:r w:rsidRPr="002A6BF2">
        <w:rPr>
          <w:lang w:val="en-US"/>
        </w:rPr>
        <w:t xml:space="preserve">-based </w:t>
      </w:r>
      <w:r w:rsidR="00DD6950" w:rsidRPr="002A6BF2">
        <w:rPr>
          <w:lang w:val="en-US"/>
        </w:rPr>
        <w:t>flaviolin production</w:t>
      </w:r>
      <w:r w:rsidRPr="002A6BF2">
        <w:rPr>
          <w:lang w:val="en-US"/>
        </w:rPr>
        <w:t xml:space="preserve"> </w:t>
      </w:r>
      <w:r w:rsidR="00AD1CB7" w:rsidRPr="002A6BF2">
        <w:rPr>
          <w:lang w:val="en-US"/>
        </w:rPr>
        <w:t xml:space="preserve">module </w:t>
      </w:r>
      <w:r w:rsidRPr="002A6BF2">
        <w:rPr>
          <w:lang w:val="en-US"/>
        </w:rPr>
        <w:t xml:space="preserve">though pEMG-mediated repair of the </w:t>
      </w:r>
      <w:r w:rsidR="003805B1" w:rsidRPr="002A6BF2">
        <w:rPr>
          <w:lang w:val="en-US"/>
        </w:rPr>
        <w:t>Tn7-site</w:t>
      </w:r>
      <w:r w:rsidR="00686F90" w:rsidRPr="002A6BF2">
        <w:rPr>
          <w:lang w:val="en-US"/>
        </w:rPr>
        <w:t xml:space="preserve"> to</w:t>
      </w:r>
      <w:r w:rsidR="00B232D6" w:rsidRPr="002A6BF2">
        <w:rPr>
          <w:lang w:val="en-US"/>
        </w:rPr>
        <w:t xml:space="preserve"> wild</w:t>
      </w:r>
      <w:r w:rsidR="007F5EB6" w:rsidRPr="002A6BF2">
        <w:rPr>
          <w:lang w:val="en-US"/>
        </w:rPr>
        <w:t>-</w:t>
      </w:r>
      <w:r w:rsidR="00B232D6" w:rsidRPr="002A6BF2">
        <w:rPr>
          <w:lang w:val="en-US"/>
        </w:rPr>
        <w:t>type sequence</w:t>
      </w:r>
      <w:r w:rsidR="00A52C21" w:rsidRPr="002A6BF2">
        <w:rPr>
          <w:lang w:val="en-US"/>
        </w:rPr>
        <w:t xml:space="preserve"> (Fig. 6 A)</w:t>
      </w:r>
      <w:r w:rsidR="00792308" w:rsidRPr="002A6BF2">
        <w:rPr>
          <w:lang w:val="en-US"/>
        </w:rPr>
        <w:t>.</w:t>
      </w:r>
      <w:r w:rsidR="003805B1" w:rsidRPr="002A6BF2">
        <w:rPr>
          <w:lang w:val="en-US"/>
        </w:rPr>
        <w:t xml:space="preserve"> </w:t>
      </w:r>
      <w:r w:rsidR="00792308" w:rsidRPr="002A6BF2">
        <w:rPr>
          <w:lang w:val="en-US"/>
        </w:rPr>
        <w:t>When using ethanol as sole carbon and energy source</w:t>
      </w:r>
      <w:r w:rsidR="00B232D6" w:rsidRPr="002A6BF2">
        <w:rPr>
          <w:lang w:val="en-US"/>
        </w:rPr>
        <w:t xml:space="preserve"> or nitrogen</w:t>
      </w:r>
      <w:r w:rsidR="00D165C6" w:rsidRPr="002A6BF2">
        <w:rPr>
          <w:lang w:val="en-US"/>
        </w:rPr>
        <w:t xml:space="preserve"> </w:t>
      </w:r>
      <w:r w:rsidR="00B232D6" w:rsidRPr="002A6BF2">
        <w:rPr>
          <w:lang w:val="en-US"/>
        </w:rPr>
        <w:t>limitation</w:t>
      </w:r>
      <w:r w:rsidR="00792308" w:rsidRPr="002A6BF2">
        <w:rPr>
          <w:lang w:val="en-US"/>
        </w:rPr>
        <w:t>, none of the</w:t>
      </w:r>
      <w:r w:rsidR="008A5A7C" w:rsidRPr="002A6BF2">
        <w:rPr>
          <w:lang w:val="en-US"/>
        </w:rPr>
        <w:t xml:space="preserve"> implemented</w:t>
      </w:r>
      <w:r w:rsidR="00792308" w:rsidRPr="002A6BF2">
        <w:rPr>
          <w:lang w:val="en-US"/>
        </w:rPr>
        <w:t xml:space="preserve"> modifications </w:t>
      </w:r>
      <w:r w:rsidR="008A5A7C" w:rsidRPr="002A6BF2">
        <w:rPr>
          <w:lang w:val="en-US"/>
        </w:rPr>
        <w:t>of</w:t>
      </w:r>
      <w:r w:rsidR="00792308" w:rsidRPr="002A6BF2">
        <w:rPr>
          <w:lang w:val="en-US"/>
        </w:rPr>
        <w:t xml:space="preserve"> GRC3</w:t>
      </w:r>
      <w:r w:rsidR="00792308" w:rsidRPr="002A6BF2">
        <w:rPr>
          <w:rFonts w:ascii="Arial" w:hAnsi="Arial" w:cs="Arial"/>
          <w:lang w:val="en-US"/>
        </w:rPr>
        <w:t>Δ</w:t>
      </w:r>
      <w:r w:rsidR="00792308" w:rsidRPr="002A6BF2">
        <w:rPr>
          <w:lang w:val="en-US"/>
        </w:rPr>
        <w:t>6MC</w:t>
      </w:r>
      <w:r w:rsidR="00792308" w:rsidRPr="002A6BF2">
        <w:rPr>
          <w:lang w:val="en-US"/>
        </w:rPr>
        <w:noBreakHyphen/>
        <w:t>I</w:t>
      </w:r>
      <w:r w:rsidR="00D165C6" w:rsidRPr="002A6BF2">
        <w:rPr>
          <w:lang w:val="en-US"/>
        </w:rPr>
        <w:t>-</w:t>
      </w:r>
      <w:r w:rsidR="008B2B27" w:rsidRPr="002A6BF2">
        <w:rPr>
          <w:lang w:val="en-US"/>
        </w:rPr>
        <w:t xml:space="preserve">based flaviolin producer </w:t>
      </w:r>
      <w:r w:rsidR="00900640" w:rsidRPr="002A6BF2">
        <w:rPr>
          <w:lang w:val="en-US"/>
        </w:rPr>
        <w:t>showed</w:t>
      </w:r>
      <w:r w:rsidR="00792308" w:rsidRPr="002A6BF2">
        <w:rPr>
          <w:lang w:val="en-US"/>
        </w:rPr>
        <w:t xml:space="preserve"> a positive effect on </w:t>
      </w:r>
      <w:r w:rsidR="00900640" w:rsidRPr="002A6BF2">
        <w:rPr>
          <w:lang w:val="en-US"/>
        </w:rPr>
        <w:t>production</w:t>
      </w:r>
      <w:r w:rsidR="005A3F56" w:rsidRPr="002A6BF2">
        <w:rPr>
          <w:lang w:val="en-US"/>
        </w:rPr>
        <w:t xml:space="preserve"> </w:t>
      </w:r>
      <w:r w:rsidR="00856C27" w:rsidRPr="002A6BF2">
        <w:rPr>
          <w:lang w:val="en-US"/>
        </w:rPr>
        <w:t>(</w:t>
      </w:r>
      <w:r w:rsidR="00AD1CB7" w:rsidRPr="002A6BF2">
        <w:rPr>
          <w:lang w:val="en-US"/>
        </w:rPr>
        <w:t>S</w:t>
      </w:r>
      <w:r w:rsidR="00856C27" w:rsidRPr="002A6BF2">
        <w:rPr>
          <w:lang w:val="en-US"/>
        </w:rPr>
        <w:t>upplement</w:t>
      </w:r>
      <w:r w:rsidR="00B232D6" w:rsidRPr="002A6BF2">
        <w:rPr>
          <w:lang w:val="en-US"/>
        </w:rPr>
        <w:t>ary</w:t>
      </w:r>
      <w:r w:rsidR="00856C27" w:rsidRPr="002A6BF2">
        <w:rPr>
          <w:lang w:val="en-US"/>
        </w:rPr>
        <w:t xml:space="preserve"> </w:t>
      </w:r>
      <w:r w:rsidR="00325010" w:rsidRPr="002A6BF2">
        <w:rPr>
          <w:lang w:val="en-US"/>
        </w:rPr>
        <w:t>Fig.</w:t>
      </w:r>
      <w:r w:rsidR="00421EEA" w:rsidRPr="002A6BF2">
        <w:rPr>
          <w:lang w:val="en-US"/>
        </w:rPr>
        <w:t xml:space="preserve"> </w:t>
      </w:r>
      <w:r w:rsidR="00E16CE2" w:rsidRPr="002A6BF2">
        <w:rPr>
          <w:lang w:val="en-US"/>
        </w:rPr>
        <w:t>S13</w:t>
      </w:r>
      <w:r w:rsidR="00856C27" w:rsidRPr="002A6BF2">
        <w:rPr>
          <w:lang w:val="en-US"/>
        </w:rPr>
        <w:t>)</w:t>
      </w:r>
      <w:r w:rsidR="00B232D6" w:rsidRPr="002A6BF2">
        <w:rPr>
          <w:lang w:val="en-US"/>
        </w:rPr>
        <w:t>,</w:t>
      </w:r>
      <w:r w:rsidR="00E50E58" w:rsidRPr="002A6BF2">
        <w:rPr>
          <w:lang w:val="en-US"/>
        </w:rPr>
        <w:t xml:space="preserve"> but GRC3</w:t>
      </w:r>
      <w:r w:rsidR="00E50E58" w:rsidRPr="002A6BF2">
        <w:rPr>
          <w:rFonts w:ascii="Arial" w:hAnsi="Arial" w:cs="Arial"/>
          <w:lang w:val="en-US"/>
        </w:rPr>
        <w:t>Δ</w:t>
      </w:r>
      <w:r w:rsidR="00E50E58" w:rsidRPr="002A6BF2">
        <w:rPr>
          <w:lang w:val="en-US"/>
        </w:rPr>
        <w:t>6MC</w:t>
      </w:r>
      <w:r w:rsidR="00E50E58" w:rsidRPr="002A6BF2">
        <w:rPr>
          <w:lang w:val="en-US"/>
        </w:rPr>
        <w:noBreakHyphen/>
        <w:t xml:space="preserve">I may </w:t>
      </w:r>
      <w:r w:rsidRPr="002A6BF2">
        <w:rPr>
          <w:lang w:val="en-US"/>
        </w:rPr>
        <w:t xml:space="preserve">be beneficial for </w:t>
      </w:r>
      <w:r w:rsidR="00E50E58" w:rsidRPr="002A6BF2">
        <w:rPr>
          <w:lang w:val="en-US"/>
        </w:rPr>
        <w:t>synthesis of products further downstream deriving from FAS</w:t>
      </w:r>
      <w:r w:rsidR="00792308" w:rsidRPr="002A6BF2">
        <w:rPr>
          <w:lang w:val="en-US"/>
        </w:rPr>
        <w:t xml:space="preserve">. Deletion of the pyruvate </w:t>
      </w:r>
      <w:r w:rsidR="00B232D6" w:rsidRPr="002A6BF2">
        <w:rPr>
          <w:lang w:val="en-US"/>
        </w:rPr>
        <w:t xml:space="preserve">carboxylase </w:t>
      </w:r>
      <w:r w:rsidR="00D25AA8" w:rsidRPr="002A6BF2">
        <w:rPr>
          <w:lang w:val="en-US"/>
        </w:rPr>
        <w:t>(P</w:t>
      </w:r>
      <w:r w:rsidR="005A3F56" w:rsidRPr="002A6BF2">
        <w:rPr>
          <w:lang w:val="en-US"/>
        </w:rPr>
        <w:t>ycAB</w:t>
      </w:r>
      <w:r w:rsidR="00D25AA8" w:rsidRPr="002A6BF2">
        <w:rPr>
          <w:lang w:val="en-US"/>
        </w:rPr>
        <w:t>)</w:t>
      </w:r>
      <w:r w:rsidR="005A3F56" w:rsidRPr="002A6BF2">
        <w:rPr>
          <w:lang w:val="en-US"/>
        </w:rPr>
        <w:t xml:space="preserve"> </w:t>
      </w:r>
      <w:r w:rsidR="00792308" w:rsidRPr="002A6BF2">
        <w:rPr>
          <w:lang w:val="en-US"/>
        </w:rPr>
        <w:t xml:space="preserve">resulted in decreased titers in all tested approaches </w:t>
      </w:r>
      <w:r w:rsidR="008A5A7C" w:rsidRPr="002A6BF2">
        <w:rPr>
          <w:lang w:val="en-US"/>
        </w:rPr>
        <w:t>as observed</w:t>
      </w:r>
      <w:r w:rsidR="00792308" w:rsidRPr="002A6BF2">
        <w:rPr>
          <w:lang w:val="en-US"/>
        </w:rPr>
        <w:t xml:space="preserve"> previously for the </w:t>
      </w:r>
      <w:r w:rsidR="00900640" w:rsidRPr="002A6BF2">
        <w:rPr>
          <w:lang w:val="en-US"/>
        </w:rPr>
        <w:t>GRC3</w:t>
      </w:r>
      <w:r w:rsidR="00D95DDB" w:rsidRPr="002A6BF2">
        <w:rPr>
          <w:lang w:val="en-US"/>
        </w:rPr>
        <w:t xml:space="preserve"> </w:t>
      </w:r>
      <w:r w:rsidR="001024A7" w:rsidRPr="002A6BF2">
        <w:rPr>
          <w:lang w:val="en-US"/>
        </w:rPr>
        <w:t>PHE</w:t>
      </w:r>
      <w:r w:rsidR="00B332E7" w:rsidRPr="002A6BF2">
        <w:rPr>
          <w:lang w:val="en-US"/>
        </w:rPr>
        <w:t>.</w:t>
      </w:r>
      <w:r w:rsidR="005A3F56" w:rsidRPr="002A6BF2">
        <w:rPr>
          <w:lang w:val="en-US"/>
        </w:rPr>
        <w:t xml:space="preserve"> </w:t>
      </w:r>
      <w:r w:rsidR="00B332E7" w:rsidRPr="002A6BF2">
        <w:rPr>
          <w:lang w:val="en-US"/>
        </w:rPr>
        <w:t xml:space="preserve">This </w:t>
      </w:r>
      <w:r w:rsidR="005C4000" w:rsidRPr="002A6BF2">
        <w:rPr>
          <w:lang w:val="en-US"/>
        </w:rPr>
        <w:t xml:space="preserve">anaplerotic </w:t>
      </w:r>
      <w:r w:rsidR="00B332E7" w:rsidRPr="002A6BF2">
        <w:rPr>
          <w:lang w:val="en-US"/>
        </w:rPr>
        <w:t>b</w:t>
      </w:r>
      <w:r w:rsidR="00D25AA8" w:rsidRPr="002A6BF2">
        <w:rPr>
          <w:lang w:val="en-US"/>
        </w:rPr>
        <w:t>ypass</w:t>
      </w:r>
      <w:r w:rsidR="00B332E7" w:rsidRPr="002A6BF2">
        <w:rPr>
          <w:lang w:val="en-US"/>
        </w:rPr>
        <w:t xml:space="preserve"> of </w:t>
      </w:r>
      <w:r w:rsidR="00D25AA8" w:rsidRPr="002A6BF2">
        <w:rPr>
          <w:lang w:val="en-US"/>
        </w:rPr>
        <w:t>acetyl-CoA</w:t>
      </w:r>
      <w:r w:rsidR="00B332E7" w:rsidRPr="002A6BF2">
        <w:rPr>
          <w:lang w:val="en-US"/>
        </w:rPr>
        <w:t xml:space="preserve"> </w:t>
      </w:r>
      <w:r w:rsidR="008A5A7C" w:rsidRPr="002A6BF2">
        <w:rPr>
          <w:lang w:val="en-US"/>
        </w:rPr>
        <w:t>through</w:t>
      </w:r>
      <w:r w:rsidR="00B332E7" w:rsidRPr="002A6BF2">
        <w:rPr>
          <w:lang w:val="en-US"/>
        </w:rPr>
        <w:t xml:space="preserve"> the pyruvate shunt</w:t>
      </w:r>
      <w:r w:rsidR="005A3F56" w:rsidRPr="002A6BF2">
        <w:rPr>
          <w:lang w:val="en-US"/>
        </w:rPr>
        <w:t xml:space="preserve"> into the TCA</w:t>
      </w:r>
      <w:r w:rsidR="00D25AA8" w:rsidRPr="002A6BF2">
        <w:rPr>
          <w:lang w:val="en-US"/>
        </w:rPr>
        <w:t xml:space="preserve"> cycle</w:t>
      </w:r>
      <w:r w:rsidR="005A3F56" w:rsidRPr="002A6BF2">
        <w:rPr>
          <w:lang w:val="en-US"/>
        </w:rPr>
        <w:t xml:space="preserve"> </w:t>
      </w:r>
      <w:r w:rsidR="00E50E58" w:rsidRPr="002A6BF2">
        <w:rPr>
          <w:lang w:val="en-US"/>
        </w:rPr>
        <w:t>highlights</w:t>
      </w:r>
      <w:r w:rsidR="005A3F56" w:rsidRPr="002A6BF2">
        <w:rPr>
          <w:lang w:val="en-US"/>
        </w:rPr>
        <w:t xml:space="preserve"> that malonyl-CoA supply requires more than just </w:t>
      </w:r>
      <w:r w:rsidR="005C4000" w:rsidRPr="002A6BF2">
        <w:rPr>
          <w:lang w:val="en-US"/>
        </w:rPr>
        <w:t xml:space="preserve">streamlining </w:t>
      </w:r>
      <w:r w:rsidR="00503EA7" w:rsidRPr="002A6BF2">
        <w:rPr>
          <w:lang w:val="en-US"/>
        </w:rPr>
        <w:t xml:space="preserve">central </w:t>
      </w:r>
      <w:r w:rsidR="005A3F56" w:rsidRPr="002A6BF2">
        <w:rPr>
          <w:lang w:val="en-US"/>
        </w:rPr>
        <w:t xml:space="preserve">carbon </w:t>
      </w:r>
      <w:r w:rsidR="00503EA7" w:rsidRPr="002A6BF2">
        <w:rPr>
          <w:lang w:val="en-US"/>
        </w:rPr>
        <w:t xml:space="preserve">metabolism </w:t>
      </w:r>
      <w:r w:rsidR="005A3F56" w:rsidRPr="002A6BF2">
        <w:rPr>
          <w:lang w:val="en-US"/>
        </w:rPr>
        <w:t xml:space="preserve">flux </w:t>
      </w:r>
      <w:r w:rsidR="005C4000" w:rsidRPr="002A6BF2">
        <w:rPr>
          <w:lang w:val="en-US"/>
        </w:rPr>
        <w:t xml:space="preserve">to acetyl-CoA </w:t>
      </w:r>
      <w:r w:rsidR="005A3F56" w:rsidRPr="002A6BF2">
        <w:rPr>
          <w:lang w:val="en-US"/>
        </w:rPr>
        <w:t xml:space="preserve">in </w:t>
      </w:r>
      <w:r w:rsidR="005A3F56" w:rsidRPr="002A6BF2">
        <w:rPr>
          <w:i/>
          <w:lang w:val="en-US"/>
        </w:rPr>
        <w:t>Pseudomonas</w:t>
      </w:r>
      <w:r w:rsidR="00792308" w:rsidRPr="002A6BF2">
        <w:rPr>
          <w:lang w:val="en-US"/>
        </w:rPr>
        <w:t>.</w:t>
      </w:r>
    </w:p>
    <w:p w14:paraId="24E552E4" w14:textId="31869218" w:rsidR="00792308" w:rsidRPr="002A6BF2" w:rsidRDefault="00792308" w:rsidP="00B84A00">
      <w:pPr>
        <w:spacing w:line="276" w:lineRule="auto"/>
        <w:jc w:val="both"/>
        <w:rPr>
          <w:lang w:val="en-US"/>
        </w:rPr>
      </w:pPr>
      <w:r w:rsidRPr="002A6BF2">
        <w:rPr>
          <w:lang w:val="en-US"/>
        </w:rPr>
        <w:t xml:space="preserve">While the </w:t>
      </w:r>
      <w:r w:rsidR="00900640" w:rsidRPr="002A6BF2">
        <w:rPr>
          <w:lang w:val="en-US"/>
        </w:rPr>
        <w:t xml:space="preserve">previously described </w:t>
      </w:r>
      <w:r w:rsidRPr="002A6BF2">
        <w:rPr>
          <w:lang w:val="en-US"/>
        </w:rPr>
        <w:t>modification</w:t>
      </w:r>
      <w:r w:rsidR="003805B1" w:rsidRPr="002A6BF2">
        <w:rPr>
          <w:lang w:val="en-US"/>
        </w:rPr>
        <w:t>s</w:t>
      </w:r>
      <w:r w:rsidRPr="002A6BF2">
        <w:rPr>
          <w:lang w:val="en-US"/>
        </w:rPr>
        <w:t xml:space="preserve"> </w:t>
      </w:r>
      <w:r w:rsidR="00D911C3" w:rsidRPr="002A6BF2">
        <w:rPr>
          <w:lang w:val="en-US"/>
        </w:rPr>
        <w:t xml:space="preserve">were made with </w:t>
      </w:r>
      <w:r w:rsidR="00900640" w:rsidRPr="002A6BF2">
        <w:rPr>
          <w:lang w:val="en-US"/>
        </w:rPr>
        <w:t>the intention</w:t>
      </w:r>
      <w:r w:rsidR="00D911C3" w:rsidRPr="002A6BF2">
        <w:rPr>
          <w:lang w:val="en-US"/>
        </w:rPr>
        <w:t xml:space="preserve"> to </w:t>
      </w:r>
      <w:r w:rsidRPr="002A6BF2">
        <w:rPr>
          <w:lang w:val="en-US"/>
        </w:rPr>
        <w:t>increas</w:t>
      </w:r>
      <w:r w:rsidR="00672EE1" w:rsidRPr="002A6BF2">
        <w:rPr>
          <w:lang w:val="en-US"/>
        </w:rPr>
        <w:t>e</w:t>
      </w:r>
      <w:r w:rsidR="00D911C3" w:rsidRPr="002A6BF2">
        <w:rPr>
          <w:lang w:val="en-US"/>
        </w:rPr>
        <w:t xml:space="preserve"> the</w:t>
      </w:r>
      <w:r w:rsidR="00672EE1" w:rsidRPr="002A6BF2">
        <w:rPr>
          <w:lang w:val="en-US"/>
        </w:rPr>
        <w:t xml:space="preserve"> formation of</w:t>
      </w:r>
      <w:r w:rsidRPr="002A6BF2">
        <w:rPr>
          <w:lang w:val="en-US"/>
        </w:rPr>
        <w:t xml:space="preserve"> </w:t>
      </w:r>
      <w:r w:rsidR="00A45686" w:rsidRPr="002A6BF2">
        <w:rPr>
          <w:lang w:val="en-US"/>
        </w:rPr>
        <w:t>malonyl-</w:t>
      </w:r>
      <w:r w:rsidRPr="002A6BF2">
        <w:rPr>
          <w:lang w:val="en-US"/>
        </w:rPr>
        <w:t xml:space="preserve">CoA, </w:t>
      </w:r>
      <w:r w:rsidR="00672EE1" w:rsidRPr="002A6BF2">
        <w:rPr>
          <w:lang w:val="en-US"/>
        </w:rPr>
        <w:t xml:space="preserve">the </w:t>
      </w:r>
      <w:r w:rsidRPr="002A6BF2">
        <w:rPr>
          <w:lang w:val="en-US"/>
        </w:rPr>
        <w:t>drain</w:t>
      </w:r>
      <w:r w:rsidR="00672EE1" w:rsidRPr="002A6BF2">
        <w:rPr>
          <w:lang w:val="en-US"/>
        </w:rPr>
        <w:t xml:space="preserve"> of malonyl-CoA</w:t>
      </w:r>
      <w:r w:rsidRPr="002A6BF2">
        <w:rPr>
          <w:lang w:val="en-US"/>
        </w:rPr>
        <w:t xml:space="preserve"> into FAS </w:t>
      </w:r>
      <w:r w:rsidR="00D911C3" w:rsidRPr="002A6BF2">
        <w:rPr>
          <w:lang w:val="en-US"/>
        </w:rPr>
        <w:lastRenderedPageBreak/>
        <w:t xml:space="preserve">is known to </w:t>
      </w:r>
      <w:r w:rsidR="00672EE1" w:rsidRPr="002A6BF2">
        <w:rPr>
          <w:lang w:val="en-US"/>
        </w:rPr>
        <w:t xml:space="preserve">heavily influence </w:t>
      </w:r>
      <w:r w:rsidR="00A45686" w:rsidRPr="002A6BF2">
        <w:rPr>
          <w:lang w:val="en-US"/>
        </w:rPr>
        <w:t>malonyl-</w:t>
      </w:r>
      <w:r w:rsidRPr="002A6BF2">
        <w:rPr>
          <w:lang w:val="en-US"/>
        </w:rPr>
        <w:t>CoA</w:t>
      </w:r>
      <w:r w:rsidR="00672EE1" w:rsidRPr="002A6BF2">
        <w:rPr>
          <w:lang w:val="en-US"/>
        </w:rPr>
        <w:t xml:space="preserve"> availability and should </w:t>
      </w:r>
      <w:r w:rsidR="00D911C3" w:rsidRPr="002A6BF2">
        <w:rPr>
          <w:lang w:val="en-US"/>
        </w:rPr>
        <w:t xml:space="preserve">thus </w:t>
      </w:r>
      <w:r w:rsidR="00672EE1" w:rsidRPr="002A6BF2">
        <w:rPr>
          <w:lang w:val="en-US"/>
        </w:rPr>
        <w:t>be addressed</w:t>
      </w:r>
      <w:r w:rsidRPr="002A6BF2">
        <w:rPr>
          <w:lang w:val="en-US"/>
        </w:rPr>
        <w:t>. Expression of</w:t>
      </w:r>
      <w:r w:rsidR="00726BF7" w:rsidRPr="002A6BF2">
        <w:rPr>
          <w:lang w:val="en-US"/>
        </w:rPr>
        <w:t xml:space="preserve"> FabF-2, a</w:t>
      </w:r>
      <w:r w:rsidRPr="002A6BF2">
        <w:rPr>
          <w:lang w:val="en-US"/>
        </w:rPr>
        <w:t xml:space="preserve"> </w:t>
      </w:r>
      <w:r w:rsidR="00A45686" w:rsidRPr="002A6BF2">
        <w:rPr>
          <w:lang w:val="en-US"/>
        </w:rPr>
        <w:t>FabF (3-ketoacyl-ACP synthase II)</w:t>
      </w:r>
      <w:r w:rsidRPr="002A6BF2">
        <w:rPr>
          <w:lang w:val="en-US"/>
        </w:rPr>
        <w:t xml:space="preserve"> homologue identified in </w:t>
      </w:r>
      <w:r w:rsidRPr="002A6BF2">
        <w:rPr>
          <w:i/>
          <w:lang w:val="en-US"/>
        </w:rPr>
        <w:t>P</w:t>
      </w:r>
      <w:r w:rsidRPr="002A6BF2">
        <w:rPr>
          <w:lang w:val="en-US"/>
        </w:rPr>
        <w:t xml:space="preserve">. </w:t>
      </w:r>
      <w:r w:rsidRPr="002A6BF2">
        <w:rPr>
          <w:i/>
          <w:lang w:val="en-US"/>
        </w:rPr>
        <w:t>putida</w:t>
      </w:r>
      <w:r w:rsidRPr="002A6BF2">
        <w:rPr>
          <w:lang w:val="en-US"/>
        </w:rPr>
        <w:t xml:space="preserve"> F1, allowed deletion of 3-ketoacyl-ACP synthases</w:t>
      </w:r>
      <w:r w:rsidR="00835524" w:rsidRPr="002A6BF2">
        <w:rPr>
          <w:lang w:val="en-US"/>
        </w:rPr>
        <w:t xml:space="preserve"> in </w:t>
      </w:r>
      <w:r w:rsidR="00835524" w:rsidRPr="002A6BF2">
        <w:rPr>
          <w:i/>
          <w:iCs/>
          <w:lang w:val="en-US"/>
        </w:rPr>
        <w:t>E. coli</w:t>
      </w:r>
      <w:r w:rsidRPr="002A6BF2">
        <w:rPr>
          <w:lang w:val="en-US"/>
        </w:rPr>
        <w:t xml:space="preserve">, the essential and </w:t>
      </w:r>
      <w:r w:rsidR="003D54B8" w:rsidRPr="002A6BF2">
        <w:rPr>
          <w:lang w:val="en-US"/>
        </w:rPr>
        <w:t>pace-</w:t>
      </w:r>
      <w:r w:rsidRPr="002A6BF2">
        <w:rPr>
          <w:lang w:val="en-US"/>
        </w:rPr>
        <w:t xml:space="preserve">making reaction of FAS </w:t>
      </w:r>
      <w:r w:rsidRPr="002A6BF2">
        <w:rPr>
          <w:lang w:val="en-US"/>
        </w:rPr>
        <w:fldChar w:fldCharType="begin" w:fldLock="1"/>
      </w:r>
      <w:r w:rsidR="00D40894" w:rsidRPr="002A6BF2">
        <w:rPr>
          <w:lang w:val="en-US"/>
        </w:rPr>
        <w:instrText>ADDIN CSL_CITATION {"citationItems":[{"id":"ITEM-1","itemData":{"DOI":"10.1016/j.jbc.2021.100920","ISSN":"00219258","author":[{"dropping-particle":"","family":"Dong","given":"Huijuan","non-dropping-particle":"","parse-names":false,"suffix":""},{"dropping-particle":"","family":"Ma","given":"Jincheng","non-dropping-particle":"","parse-names":false,"suffix":""},{"dropping-particle":"","family":"Chen","given":"Qunyi","non-dropping-particle":"","parse-names":false,"suffix":""},{"dropping-particle":"","family":"Chen","given":"Bo","non-dropping-particle":"","parse-names":false,"suffix":""},{"dropping-particle":"","family":"Liang","given":"Lujie","non-dropping-particle":"","parse-names":false,"suffix":""},{"dropping-particle":"","family":"Liao","given":"Yuling","non-dropping-particle":"","parse-names":false,"suffix":""},{"dropping-particle":"","family":"Song","given":"Yulu","non-dropping-particle":"","parse-names":false,"suffix":""},{"dropping-particle":"","family":"Wang","given":"Haihong","non-dropping-particle":"","parse-names":false,"suffix":""},{"dropping-particle":"","family":"Cronan","given":"John E.","non-dropping-particle":"","parse-names":false,"suffix":""}],"container-title":"Journal of Biological Chemistry","id":"ITEM-1","issue":"2","issued":{"date-parts":[["2021"]]},"note":"putida F1 FabF2 (Pput_2422) can restore function of E. coli FabB and also from E. coli FabF\n\nA FabF2 homologue is not present in VLB120 but in KT2440 the corresponding gene is Pp_3303 with 96.5% aa identity to Pput_2242\n\ntetR regulator Pput_4737 is similar to PVLB_02920. Neighboring genes are the same and they have 92%aa identity and 84%nt identity; Deletion modestly increased fabAB expression (in my experiments I saw no effect but I am interested in decrease expression of fabB)\n\ndeletion of fabB was made by replacemet with Km cassette and supplementation of 5mM oleic acid.","page":"100920","publisher":"American Society for Biochemistry and Molecular Biology","title":"A cryptic long-chain 3-ketoacyl-ACP synthase in the &lt;i&gt;Pseudomonas putida&lt;/i&gt; F1 unsaturated fatty acid synthesis pathway","type":"article-journal","volume":"297"},"uris":["http://www.mendeley.com/documents/?uuid=c4a8c7ce-f49b-40a5-96c1-af650df726a7"]}],"mendeley":{"formattedCitation":"(Dong et al., 2021)","plainTextFormattedCitation":"(Dong et al., 2021)","previouslyFormattedCitation":"(Dong et al., 2021)"},"properties":{"noteIndex":0},"schema":"https://github.com/citation-style-language/schema/raw/master/csl-citation.json"}</w:instrText>
      </w:r>
      <w:r w:rsidRPr="002A6BF2">
        <w:rPr>
          <w:lang w:val="en-US"/>
        </w:rPr>
        <w:fldChar w:fldCharType="separate"/>
      </w:r>
      <w:r w:rsidR="00B255F3" w:rsidRPr="002A6BF2">
        <w:rPr>
          <w:noProof/>
          <w:lang w:val="en-US"/>
        </w:rPr>
        <w:t>(Dong et al., 2021)</w:t>
      </w:r>
      <w:r w:rsidRPr="002A6BF2">
        <w:rPr>
          <w:lang w:val="en-US"/>
        </w:rPr>
        <w:fldChar w:fldCharType="end"/>
      </w:r>
      <w:r w:rsidRPr="002A6BF2">
        <w:rPr>
          <w:lang w:val="en-US"/>
        </w:rPr>
        <w:t xml:space="preserve">. Here, the </w:t>
      </w:r>
      <w:r w:rsidR="00726BF7" w:rsidRPr="002A6BF2">
        <w:rPr>
          <w:lang w:val="en-US"/>
        </w:rPr>
        <w:t xml:space="preserve">FabF-2 </w:t>
      </w:r>
      <w:r w:rsidRPr="002A6BF2">
        <w:rPr>
          <w:lang w:val="en-US"/>
        </w:rPr>
        <w:t xml:space="preserve">homologue </w:t>
      </w:r>
      <w:r w:rsidR="00835524" w:rsidRPr="002A6BF2">
        <w:rPr>
          <w:lang w:val="en-US"/>
        </w:rPr>
        <w:t>from</w:t>
      </w:r>
      <w:r w:rsidRPr="002A6BF2">
        <w:rPr>
          <w:lang w:val="en-US"/>
        </w:rPr>
        <w:t xml:space="preserve"> </w:t>
      </w:r>
      <w:r w:rsidRPr="002A6BF2">
        <w:rPr>
          <w:i/>
          <w:lang w:val="en-US"/>
        </w:rPr>
        <w:t>P. putida</w:t>
      </w:r>
      <w:r w:rsidRPr="002A6BF2">
        <w:rPr>
          <w:lang w:val="en-US"/>
        </w:rPr>
        <w:t xml:space="preserve"> KT2440</w:t>
      </w:r>
      <w:r w:rsidR="00835524" w:rsidRPr="002A6BF2">
        <w:rPr>
          <w:lang w:val="en-US"/>
        </w:rPr>
        <w:t xml:space="preserve"> (</w:t>
      </w:r>
      <w:r w:rsidRPr="002A6BF2">
        <w:rPr>
          <w:lang w:val="en-US"/>
        </w:rPr>
        <w:t>PP_3303</w:t>
      </w:r>
      <w:r w:rsidR="00835524" w:rsidRPr="002A6BF2">
        <w:rPr>
          <w:lang w:val="en-US"/>
        </w:rPr>
        <w:t>)</w:t>
      </w:r>
      <w:r w:rsidRPr="002A6BF2">
        <w:rPr>
          <w:lang w:val="en-US"/>
        </w:rPr>
        <w:t xml:space="preserve"> was </w:t>
      </w:r>
      <w:r w:rsidR="005B2371" w:rsidRPr="002A6BF2">
        <w:rPr>
          <w:lang w:val="en-US"/>
        </w:rPr>
        <w:t xml:space="preserve">chromosomally </w:t>
      </w:r>
      <w:r w:rsidR="00AF4B32" w:rsidRPr="002A6BF2">
        <w:rPr>
          <w:lang w:val="en-US"/>
        </w:rPr>
        <w:t>integrated at PVLB_02480/85</w:t>
      </w:r>
      <w:r w:rsidRPr="002A6BF2">
        <w:rPr>
          <w:lang w:val="en-US"/>
        </w:rPr>
        <w:t xml:space="preserve"> </w:t>
      </w:r>
      <w:r w:rsidR="00AF4B32" w:rsidRPr="002A6BF2">
        <w:rPr>
          <w:lang w:val="en-US"/>
        </w:rPr>
        <w:t>and expressed</w:t>
      </w:r>
      <w:r w:rsidR="005215A2" w:rsidRPr="002A6BF2">
        <w:rPr>
          <w:lang w:val="en-US"/>
        </w:rPr>
        <w:t xml:space="preserve"> by</w:t>
      </w:r>
      <w:r w:rsidR="00AF4B32" w:rsidRPr="002A6BF2">
        <w:rPr>
          <w:lang w:val="en-US"/>
        </w:rPr>
        <w:t xml:space="preserve"> </w:t>
      </w:r>
      <w:r w:rsidR="00503EA7" w:rsidRPr="002A6BF2">
        <w:rPr>
          <w:lang w:val="en-US"/>
        </w:rPr>
        <w:t xml:space="preserve">the </w:t>
      </w:r>
      <w:r w:rsidR="0077028B" w:rsidRPr="002A6BF2">
        <w:rPr>
          <w:lang w:val="en-US"/>
        </w:rPr>
        <w:t xml:space="preserve">constitutive </w:t>
      </w:r>
      <w:r w:rsidRPr="002A6BF2">
        <w:rPr>
          <w:lang w:val="en-US"/>
        </w:rPr>
        <w:t xml:space="preserve">promoter </w:t>
      </w:r>
      <w:r w:rsidRPr="002A6BF2">
        <w:rPr>
          <w:i/>
          <w:lang w:val="en-US"/>
        </w:rPr>
        <w:t>P</w:t>
      </w:r>
      <w:r w:rsidRPr="002A6BF2">
        <w:rPr>
          <w:i/>
          <w:vertAlign w:val="subscript"/>
          <w:lang w:val="en-US"/>
        </w:rPr>
        <w:t>EM7</w:t>
      </w:r>
      <w:r w:rsidR="003805B1" w:rsidRPr="002A6BF2">
        <w:rPr>
          <w:lang w:val="en-US"/>
        </w:rPr>
        <w:t xml:space="preserve"> in </w:t>
      </w:r>
      <w:r w:rsidR="00C34795" w:rsidRPr="002A6BF2">
        <w:rPr>
          <w:lang w:val="en-US"/>
        </w:rPr>
        <w:t xml:space="preserve">the </w:t>
      </w:r>
      <w:r w:rsidR="003805B1" w:rsidRPr="002A6BF2">
        <w:rPr>
          <w:lang w:val="en-US"/>
        </w:rPr>
        <w:t>flaviolin producer GRC3</w:t>
      </w:r>
      <w:r w:rsidR="003805B1" w:rsidRPr="002A6BF2">
        <w:rPr>
          <w:rFonts w:ascii="Arial" w:hAnsi="Arial" w:cs="Arial"/>
          <w:lang w:val="en-US"/>
        </w:rPr>
        <w:t>Δ</w:t>
      </w:r>
      <w:r w:rsidR="003805B1" w:rsidRPr="002A6BF2">
        <w:rPr>
          <w:lang w:val="en-US"/>
        </w:rPr>
        <w:t>6</w:t>
      </w:r>
      <w:r w:rsidR="003805B1" w:rsidRPr="002A6BF2">
        <w:rPr>
          <w:rFonts w:ascii="Arial" w:hAnsi="Arial" w:cs="Arial"/>
          <w:lang w:val="en-US"/>
        </w:rPr>
        <w:t>Δ</w:t>
      </w:r>
      <w:r w:rsidR="003805B1" w:rsidRPr="002A6BF2">
        <w:rPr>
          <w:i/>
          <w:lang w:val="en-US"/>
        </w:rPr>
        <w:t>gcd</w:t>
      </w:r>
      <w:r w:rsidR="003805B1" w:rsidRPr="002A6BF2">
        <w:rPr>
          <w:rFonts w:ascii="Arial" w:hAnsi="Arial" w:cs="Arial"/>
          <w:lang w:val="en-US"/>
        </w:rPr>
        <w:t>Δ</w:t>
      </w:r>
      <w:r w:rsidR="003805B1" w:rsidRPr="002A6BF2">
        <w:rPr>
          <w:i/>
          <w:iCs/>
          <w:lang w:val="en-US"/>
        </w:rPr>
        <w:t>P</w:t>
      </w:r>
      <w:r w:rsidR="00987684" w:rsidRPr="002A6BF2">
        <w:rPr>
          <w:i/>
          <w:iCs/>
          <w:vertAlign w:val="subscript"/>
          <w:lang w:val="en-US"/>
        </w:rPr>
        <w:t>g</w:t>
      </w:r>
      <w:r w:rsidR="003805B1" w:rsidRPr="002A6BF2">
        <w:rPr>
          <w:i/>
          <w:iCs/>
          <w:vertAlign w:val="subscript"/>
          <w:lang w:val="en-US"/>
        </w:rPr>
        <w:t>ltA</w:t>
      </w:r>
      <w:r w:rsidR="003805B1" w:rsidRPr="002A6BF2">
        <w:rPr>
          <w:lang w:val="en-US"/>
        </w:rPr>
        <w:t>::</w:t>
      </w:r>
      <w:r w:rsidR="003805B1" w:rsidRPr="002A6BF2">
        <w:rPr>
          <w:i/>
          <w:iCs/>
          <w:lang w:val="en-US"/>
        </w:rPr>
        <w:t>P</w:t>
      </w:r>
      <w:r w:rsidR="003805B1" w:rsidRPr="002A6BF2">
        <w:rPr>
          <w:i/>
          <w:iCs/>
          <w:vertAlign w:val="subscript"/>
          <w:lang w:val="en-US"/>
        </w:rPr>
        <w:t>14a</w:t>
      </w:r>
      <w:r w:rsidR="003805B1" w:rsidRPr="002A6BF2">
        <w:rPr>
          <w:i/>
          <w:iCs/>
          <w:lang w:val="en-US"/>
        </w:rPr>
        <w:t>*</w:t>
      </w:r>
      <w:r w:rsidR="003805B1" w:rsidRPr="002A6BF2">
        <w:rPr>
          <w:lang w:val="en-US"/>
        </w:rPr>
        <w:t xml:space="preserve">. </w:t>
      </w:r>
      <w:r w:rsidR="00503EA7" w:rsidRPr="002A6BF2">
        <w:rPr>
          <w:lang w:val="en-US"/>
        </w:rPr>
        <w:t>D</w:t>
      </w:r>
      <w:r w:rsidRPr="002A6BF2">
        <w:rPr>
          <w:lang w:val="en-US"/>
        </w:rPr>
        <w:t>eletion of native</w:t>
      </w:r>
      <w:r w:rsidR="005215A2" w:rsidRPr="002A6BF2">
        <w:rPr>
          <w:lang w:val="en-US"/>
        </w:rPr>
        <w:t>ly essential</w:t>
      </w:r>
      <w:r w:rsidRPr="002A6BF2">
        <w:rPr>
          <w:lang w:val="en-US"/>
        </w:rPr>
        <w:t xml:space="preserve"> FabF (PVLB_07185) </w:t>
      </w:r>
      <w:r w:rsidR="00BF6BA0" w:rsidRPr="002A6BF2">
        <w:rPr>
          <w:lang w:val="en-US"/>
        </w:rPr>
        <w:t>and exchange by</w:t>
      </w:r>
      <w:r w:rsidR="00CC75C6" w:rsidRPr="002A6BF2">
        <w:rPr>
          <w:lang w:val="en-US"/>
        </w:rPr>
        <w:t xml:space="preserve"> a</w:t>
      </w:r>
      <w:r w:rsidR="00BF6BA0" w:rsidRPr="002A6BF2">
        <w:rPr>
          <w:lang w:val="en-US"/>
        </w:rPr>
        <w:t xml:space="preserve"> unique barcod</w:t>
      </w:r>
      <w:r w:rsidR="00CC75C6" w:rsidRPr="002A6BF2">
        <w:rPr>
          <w:lang w:val="en-US"/>
        </w:rPr>
        <w:t>ing</w:t>
      </w:r>
      <w:r w:rsidR="00BF6BA0" w:rsidRPr="002A6BF2">
        <w:rPr>
          <w:lang w:val="en-US"/>
        </w:rPr>
        <w:t xml:space="preserve"> sequence </w:t>
      </w:r>
      <w:r w:rsidRPr="002A6BF2">
        <w:rPr>
          <w:lang w:val="en-US"/>
        </w:rPr>
        <w:t xml:space="preserve">was </w:t>
      </w:r>
      <w:r w:rsidR="00503EA7" w:rsidRPr="002A6BF2">
        <w:rPr>
          <w:lang w:val="en-US"/>
        </w:rPr>
        <w:t xml:space="preserve">subsequently </w:t>
      </w:r>
      <w:r w:rsidRPr="002A6BF2">
        <w:rPr>
          <w:lang w:val="en-US"/>
        </w:rPr>
        <w:t>achieved</w:t>
      </w:r>
      <w:r w:rsidR="00B44978" w:rsidRPr="002A6BF2">
        <w:rPr>
          <w:lang w:val="en-US"/>
        </w:rPr>
        <w:t xml:space="preserve"> </w:t>
      </w:r>
      <w:r w:rsidR="00BF6BA0" w:rsidRPr="002A6BF2">
        <w:rPr>
          <w:lang w:val="en-US"/>
        </w:rPr>
        <w:t>(</w:t>
      </w:r>
      <w:r w:rsidR="00B44978" w:rsidRPr="002A6BF2">
        <w:rPr>
          <w:lang w:val="en-US"/>
        </w:rPr>
        <w:t>Fig</w:t>
      </w:r>
      <w:r w:rsidR="00BF6BA0" w:rsidRPr="002A6BF2">
        <w:rPr>
          <w:lang w:val="en-US"/>
        </w:rPr>
        <w:t xml:space="preserve">. </w:t>
      </w:r>
      <w:r w:rsidR="00B44978" w:rsidRPr="002A6BF2">
        <w:rPr>
          <w:lang w:val="en-US"/>
        </w:rPr>
        <w:t>6</w:t>
      </w:r>
      <w:r w:rsidR="00BF6BA0" w:rsidRPr="002A6BF2">
        <w:rPr>
          <w:lang w:val="en-US"/>
        </w:rPr>
        <w:t xml:space="preserve"> B)</w:t>
      </w:r>
      <w:r w:rsidR="00023973" w:rsidRPr="002A6BF2">
        <w:rPr>
          <w:lang w:val="en-US"/>
        </w:rPr>
        <w:t>.</w:t>
      </w:r>
      <w:r w:rsidR="00CC75C6" w:rsidRPr="002A6BF2">
        <w:rPr>
          <w:lang w:val="en-US"/>
        </w:rPr>
        <w:t xml:space="preserve"> </w:t>
      </w:r>
      <w:r w:rsidR="00023973" w:rsidRPr="002A6BF2">
        <w:rPr>
          <w:lang w:val="en-US"/>
        </w:rPr>
        <w:t>H</w:t>
      </w:r>
      <w:r w:rsidR="002A6BF2">
        <w:rPr>
          <w:lang w:val="en-US"/>
        </w:rPr>
        <w:t>o</w:t>
      </w:r>
      <w:r w:rsidR="00023973" w:rsidRPr="002A6BF2">
        <w:rPr>
          <w:lang w:val="en-US"/>
        </w:rPr>
        <w:t>wever,</w:t>
      </w:r>
      <w:r w:rsidR="00CC75C6" w:rsidRPr="002A6BF2">
        <w:rPr>
          <w:lang w:val="en-US"/>
        </w:rPr>
        <w:t xml:space="preserve"> 55 bp of </w:t>
      </w:r>
      <w:r w:rsidR="00CC75C6" w:rsidRPr="002A6BF2">
        <w:rPr>
          <w:i/>
          <w:lang w:val="en-US"/>
        </w:rPr>
        <w:t>fabF</w:t>
      </w:r>
      <w:r w:rsidR="00CC75C6" w:rsidRPr="002A6BF2">
        <w:rPr>
          <w:lang w:val="en-US"/>
        </w:rPr>
        <w:t xml:space="preserve"> remained after deletion due to </w:t>
      </w:r>
      <w:r w:rsidR="003C4392" w:rsidRPr="002A6BF2">
        <w:rPr>
          <w:lang w:val="en-US"/>
        </w:rPr>
        <w:t xml:space="preserve">promoter-like regions within </w:t>
      </w:r>
      <w:r w:rsidR="003C4392" w:rsidRPr="002A6BF2">
        <w:rPr>
          <w:i/>
          <w:lang w:val="en-US"/>
        </w:rPr>
        <w:t>fabF</w:t>
      </w:r>
      <w:r w:rsidR="003C4392" w:rsidRPr="002A6BF2">
        <w:rPr>
          <w:lang w:val="en-US"/>
        </w:rPr>
        <w:t xml:space="preserve"> coding sequence and </w:t>
      </w:r>
      <w:r w:rsidR="00CC75C6" w:rsidRPr="002A6BF2">
        <w:rPr>
          <w:lang w:val="en-US"/>
        </w:rPr>
        <w:t xml:space="preserve">partly overlapping </w:t>
      </w:r>
      <w:r w:rsidR="003C4392" w:rsidRPr="002A6BF2">
        <w:rPr>
          <w:lang w:val="en-US"/>
        </w:rPr>
        <w:t xml:space="preserve">coding sequence of </w:t>
      </w:r>
      <w:r w:rsidR="00CC75C6" w:rsidRPr="002A6BF2">
        <w:rPr>
          <w:lang w:val="en-US"/>
        </w:rPr>
        <w:t>4-amino-4-deoxychorismate lyase gene (Supplementary Table S2)</w:t>
      </w:r>
      <w:r w:rsidRPr="002A6BF2">
        <w:rPr>
          <w:lang w:val="en-US"/>
        </w:rPr>
        <w:t xml:space="preserve">. This new </w:t>
      </w:r>
      <w:r w:rsidR="00F634AB" w:rsidRPr="002A6BF2">
        <w:rPr>
          <w:lang w:val="en-US"/>
        </w:rPr>
        <w:t>flaviolin producer</w:t>
      </w:r>
      <w:r w:rsidR="00503EA7" w:rsidRPr="002A6BF2">
        <w:rPr>
          <w:lang w:val="en-US"/>
        </w:rPr>
        <w:t xml:space="preserve"> </w:t>
      </w:r>
      <w:r w:rsidRPr="002A6BF2">
        <w:rPr>
          <w:lang w:val="en-US"/>
        </w:rPr>
        <w:t xml:space="preserve">reached </w:t>
      </w:r>
      <w:r w:rsidR="003D54B8" w:rsidRPr="002A6BF2">
        <w:rPr>
          <w:lang w:val="en-US"/>
        </w:rPr>
        <w:t xml:space="preserve">the </w:t>
      </w:r>
      <w:r w:rsidRPr="002A6BF2">
        <w:rPr>
          <w:lang w:val="en-US"/>
        </w:rPr>
        <w:t xml:space="preserve">highest </w:t>
      </w:r>
      <w:r w:rsidR="00D911C3" w:rsidRPr="002A6BF2">
        <w:rPr>
          <w:lang w:val="en-US"/>
        </w:rPr>
        <w:t xml:space="preserve">flaviolin </w:t>
      </w:r>
      <w:r w:rsidRPr="002A6BF2">
        <w:rPr>
          <w:lang w:val="en-US"/>
        </w:rPr>
        <w:t xml:space="preserve">titers, exceeding previous </w:t>
      </w:r>
      <w:r w:rsidR="00D911C3" w:rsidRPr="002A6BF2">
        <w:rPr>
          <w:lang w:val="en-US"/>
        </w:rPr>
        <w:t>production</w:t>
      </w:r>
      <w:r w:rsidR="00503EA7" w:rsidRPr="002A6BF2">
        <w:rPr>
          <w:lang w:val="en-US"/>
        </w:rPr>
        <w:t xml:space="preserve"> by</w:t>
      </w:r>
      <w:r w:rsidRPr="002A6BF2">
        <w:rPr>
          <w:lang w:val="en-US"/>
        </w:rPr>
        <w:t xml:space="preserve"> 2</w:t>
      </w:r>
      <w:r w:rsidRPr="002A6BF2">
        <w:rPr>
          <w:lang w:val="en-US"/>
        </w:rPr>
        <w:noBreakHyphen/>
        <w:t xml:space="preserve">fold compared to </w:t>
      </w:r>
      <w:r w:rsidR="00356373" w:rsidRPr="002A6BF2">
        <w:rPr>
          <w:lang w:val="en-US"/>
        </w:rPr>
        <w:t>its</w:t>
      </w:r>
      <w:r w:rsidR="00835524" w:rsidRPr="002A6BF2">
        <w:rPr>
          <w:lang w:val="en-US"/>
        </w:rPr>
        <w:t xml:space="preserve"> </w:t>
      </w:r>
      <w:r w:rsidRPr="002A6BF2">
        <w:rPr>
          <w:lang w:val="en-US"/>
        </w:rPr>
        <w:t>predecesso</w:t>
      </w:r>
      <w:r w:rsidR="00B75341" w:rsidRPr="002A6BF2">
        <w:rPr>
          <w:lang w:val="en-US"/>
        </w:rPr>
        <w:t>r</w:t>
      </w:r>
      <w:r w:rsidRPr="002A6BF2">
        <w:rPr>
          <w:lang w:val="en-US"/>
        </w:rPr>
        <w:t xml:space="preserve"> GRC3</w:t>
      </w:r>
      <w:r w:rsidRPr="002A6BF2">
        <w:rPr>
          <w:rFonts w:ascii="Arial" w:hAnsi="Arial" w:cs="Arial"/>
          <w:lang w:val="en-US"/>
        </w:rPr>
        <w:t>Δ</w:t>
      </w:r>
      <w:r w:rsidRPr="002A6BF2">
        <w:rPr>
          <w:lang w:val="en-US"/>
        </w:rPr>
        <w:t>6</w:t>
      </w:r>
      <w:r w:rsidRPr="002A6BF2">
        <w:rPr>
          <w:rFonts w:ascii="Arial" w:hAnsi="Arial" w:cs="Arial"/>
          <w:lang w:val="en-US"/>
        </w:rPr>
        <w:t>Δ</w:t>
      </w:r>
      <w:r w:rsidRPr="002A6BF2">
        <w:rPr>
          <w:i/>
          <w:lang w:val="en-US"/>
        </w:rPr>
        <w:t>gcd</w:t>
      </w:r>
      <w:r w:rsidRPr="002A6BF2">
        <w:rPr>
          <w:rFonts w:ascii="Arial" w:hAnsi="Arial" w:cs="Arial"/>
          <w:lang w:val="en-US"/>
        </w:rPr>
        <w:t>Δ</w:t>
      </w:r>
      <w:r w:rsidRPr="002A6BF2">
        <w:rPr>
          <w:i/>
          <w:iCs/>
          <w:lang w:val="en-US"/>
        </w:rPr>
        <w:t>P</w:t>
      </w:r>
      <w:r w:rsidR="00987684" w:rsidRPr="002A6BF2">
        <w:rPr>
          <w:i/>
          <w:iCs/>
          <w:vertAlign w:val="subscript"/>
          <w:lang w:val="en-US"/>
        </w:rPr>
        <w:t>g</w:t>
      </w:r>
      <w:r w:rsidRPr="002A6BF2">
        <w:rPr>
          <w:i/>
          <w:iCs/>
          <w:vertAlign w:val="subscript"/>
          <w:lang w:val="en-US"/>
        </w:rPr>
        <w:t>ltA</w:t>
      </w:r>
      <w:r w:rsidRPr="002A6BF2">
        <w:rPr>
          <w:lang w:val="en-US"/>
        </w:rPr>
        <w:t>::</w:t>
      </w:r>
      <w:r w:rsidRPr="002A6BF2">
        <w:rPr>
          <w:i/>
          <w:iCs/>
          <w:lang w:val="en-US"/>
        </w:rPr>
        <w:t>P</w:t>
      </w:r>
      <w:r w:rsidRPr="002A6BF2">
        <w:rPr>
          <w:i/>
          <w:iCs/>
          <w:vertAlign w:val="subscript"/>
          <w:lang w:val="en-US"/>
        </w:rPr>
        <w:t>14a</w:t>
      </w:r>
      <w:r w:rsidR="00BC1952" w:rsidRPr="002A6BF2">
        <w:rPr>
          <w:i/>
          <w:iCs/>
          <w:lang w:val="en-US"/>
        </w:rPr>
        <w:t>*</w:t>
      </w:r>
      <w:r w:rsidRPr="002A6BF2">
        <w:rPr>
          <w:lang w:val="en-US"/>
        </w:rPr>
        <w:t xml:space="preserve">. The </w:t>
      </w:r>
      <w:r w:rsidR="00503EA7" w:rsidRPr="002A6BF2">
        <w:rPr>
          <w:lang w:val="en-US"/>
        </w:rPr>
        <w:t>second-generation</w:t>
      </w:r>
      <w:r w:rsidRPr="002A6BF2">
        <w:rPr>
          <w:lang w:val="en-US"/>
        </w:rPr>
        <w:t xml:space="preserve"> </w:t>
      </w:r>
      <w:r w:rsidR="00D911C3" w:rsidRPr="002A6BF2">
        <w:rPr>
          <w:lang w:val="en-US"/>
        </w:rPr>
        <w:t xml:space="preserve">platform </w:t>
      </w:r>
      <w:r w:rsidR="00835524" w:rsidRPr="002A6BF2">
        <w:rPr>
          <w:lang w:val="en-US"/>
        </w:rPr>
        <w:t xml:space="preserve">strain </w:t>
      </w:r>
      <w:r w:rsidRPr="002A6BF2">
        <w:rPr>
          <w:lang w:val="en-US"/>
        </w:rPr>
        <w:t>GRC3</w:t>
      </w:r>
      <w:r w:rsidRPr="002A6BF2">
        <w:rPr>
          <w:rFonts w:ascii="Arial" w:hAnsi="Arial" w:cs="Arial"/>
          <w:lang w:val="en-US"/>
        </w:rPr>
        <w:t>Δ</w:t>
      </w:r>
      <w:r w:rsidRPr="002A6BF2">
        <w:rPr>
          <w:lang w:val="en-US"/>
        </w:rPr>
        <w:t>6MC</w:t>
      </w:r>
      <w:r w:rsidRPr="002A6BF2">
        <w:rPr>
          <w:lang w:val="en-US"/>
        </w:rPr>
        <w:noBreakHyphen/>
        <w:t xml:space="preserve">II </w:t>
      </w:r>
      <w:r w:rsidR="00D911C3" w:rsidRPr="002A6BF2">
        <w:rPr>
          <w:lang w:val="en-US"/>
        </w:rPr>
        <w:t>was</w:t>
      </w:r>
      <w:r w:rsidRPr="002A6BF2">
        <w:rPr>
          <w:lang w:val="en-US"/>
        </w:rPr>
        <w:t xml:space="preserve"> </w:t>
      </w:r>
      <w:r w:rsidR="008B2B27" w:rsidRPr="002A6BF2">
        <w:rPr>
          <w:lang w:val="en-US"/>
        </w:rPr>
        <w:t>made from</w:t>
      </w:r>
      <w:r w:rsidRPr="002A6BF2">
        <w:rPr>
          <w:lang w:val="en-US"/>
        </w:rPr>
        <w:t xml:space="preserve"> this </w:t>
      </w:r>
      <w:r w:rsidR="00503EA7" w:rsidRPr="002A6BF2">
        <w:rPr>
          <w:lang w:val="en-US"/>
        </w:rPr>
        <w:t>FAS-</w:t>
      </w:r>
      <w:r w:rsidRPr="002A6BF2">
        <w:rPr>
          <w:lang w:val="en-US"/>
        </w:rPr>
        <w:t xml:space="preserve">modified </w:t>
      </w:r>
      <w:r w:rsidR="00F634AB" w:rsidRPr="002A6BF2">
        <w:rPr>
          <w:lang w:val="en-US"/>
        </w:rPr>
        <w:t>flaviolin producer</w:t>
      </w:r>
      <w:r w:rsidRPr="002A6BF2">
        <w:rPr>
          <w:lang w:val="en-US"/>
        </w:rPr>
        <w:t>. Integration of FabF</w:t>
      </w:r>
      <w:r w:rsidR="00A45686" w:rsidRPr="002A6BF2">
        <w:rPr>
          <w:lang w:val="en-US"/>
        </w:rPr>
        <w:t>-</w:t>
      </w:r>
      <w:r w:rsidRPr="002A6BF2">
        <w:rPr>
          <w:lang w:val="en-US"/>
        </w:rPr>
        <w:t xml:space="preserve">2 alone </w:t>
      </w:r>
      <w:r w:rsidR="003D54B8" w:rsidRPr="002A6BF2">
        <w:rPr>
          <w:lang w:val="en-US"/>
        </w:rPr>
        <w:t xml:space="preserve">reduced </w:t>
      </w:r>
      <w:r w:rsidRPr="002A6BF2">
        <w:rPr>
          <w:lang w:val="en-US"/>
        </w:rPr>
        <w:t xml:space="preserve">flaviolin titers by about 10% indicating </w:t>
      </w:r>
      <w:r w:rsidR="00603D1D" w:rsidRPr="002A6BF2">
        <w:rPr>
          <w:lang w:val="en-US"/>
        </w:rPr>
        <w:t xml:space="preserve">a slightly </w:t>
      </w:r>
      <w:r w:rsidRPr="002A6BF2">
        <w:rPr>
          <w:lang w:val="en-US"/>
        </w:rPr>
        <w:t xml:space="preserve">increased </w:t>
      </w:r>
      <w:r w:rsidR="00835524" w:rsidRPr="002A6BF2">
        <w:rPr>
          <w:lang w:val="en-US"/>
        </w:rPr>
        <w:t xml:space="preserve">precursor </w:t>
      </w:r>
      <w:r w:rsidRPr="002A6BF2">
        <w:rPr>
          <w:lang w:val="en-US"/>
        </w:rPr>
        <w:t>drain into FAS</w:t>
      </w:r>
      <w:r w:rsidR="003D54B8" w:rsidRPr="002A6BF2">
        <w:rPr>
          <w:lang w:val="en-US"/>
        </w:rPr>
        <w:t>,</w:t>
      </w:r>
      <w:r w:rsidRPr="002A6BF2">
        <w:rPr>
          <w:lang w:val="en-US"/>
        </w:rPr>
        <w:t xml:space="preserve"> which might be </w:t>
      </w:r>
      <w:r w:rsidR="005C113D" w:rsidRPr="002A6BF2">
        <w:rPr>
          <w:lang w:val="en-US"/>
        </w:rPr>
        <w:t>of interest</w:t>
      </w:r>
      <w:r w:rsidRPr="002A6BF2">
        <w:rPr>
          <w:lang w:val="en-US"/>
        </w:rPr>
        <w:t xml:space="preserve"> for products deriving </w:t>
      </w:r>
      <w:r w:rsidR="00503EA7" w:rsidRPr="002A6BF2">
        <w:rPr>
          <w:lang w:val="en-US"/>
        </w:rPr>
        <w:t xml:space="preserve">from </w:t>
      </w:r>
      <w:r w:rsidRPr="002A6BF2">
        <w:rPr>
          <w:lang w:val="en-US"/>
        </w:rPr>
        <w:t>acyl-ACPs</w:t>
      </w:r>
      <w:r w:rsidR="005B2371" w:rsidRPr="002A6BF2">
        <w:rPr>
          <w:lang w:val="en-US"/>
        </w:rPr>
        <w:t>.</w:t>
      </w:r>
      <w:r w:rsidR="006E23ED" w:rsidRPr="002A6BF2">
        <w:rPr>
          <w:lang w:val="en-US"/>
        </w:rPr>
        <w:t xml:space="preserve"> Modifications that did not lead to increased pol</w:t>
      </w:r>
      <w:r w:rsidR="000277AE" w:rsidRPr="002A6BF2">
        <w:rPr>
          <w:lang w:val="en-US"/>
        </w:rPr>
        <w:t>y</w:t>
      </w:r>
      <w:r w:rsidR="006E23ED" w:rsidRPr="002A6BF2">
        <w:rPr>
          <w:lang w:val="en-US"/>
        </w:rPr>
        <w:t xml:space="preserve">ketide product titers </w:t>
      </w:r>
      <w:r w:rsidR="005215A2" w:rsidRPr="002A6BF2">
        <w:rPr>
          <w:lang w:val="en-US"/>
        </w:rPr>
        <w:t>were listed</w:t>
      </w:r>
      <w:r w:rsidR="006E23ED" w:rsidRPr="002A6BF2">
        <w:rPr>
          <w:lang w:val="en-US"/>
        </w:rPr>
        <w:t xml:space="preserve"> in Supplementary S1</w:t>
      </w:r>
      <w:r w:rsidR="00E16CE2" w:rsidRPr="002A6BF2">
        <w:rPr>
          <w:lang w:val="en-US"/>
        </w:rPr>
        <w:t>4</w:t>
      </w:r>
      <w:r w:rsidR="006E23ED" w:rsidRPr="002A6BF2">
        <w:rPr>
          <w:lang w:val="en-US"/>
        </w:rPr>
        <w:t>.</w:t>
      </w:r>
      <w:r w:rsidR="00156B95" w:rsidRPr="002A6BF2">
        <w:rPr>
          <w:lang w:val="en-US"/>
        </w:rPr>
        <w:t xml:space="preserve"> Based on homologies</w:t>
      </w:r>
      <w:r w:rsidR="00650C92" w:rsidRPr="002A6BF2">
        <w:rPr>
          <w:lang w:val="en-US"/>
        </w:rPr>
        <w:t xml:space="preserve"> </w:t>
      </w:r>
      <w:r w:rsidR="00650C92" w:rsidRPr="002A6BF2">
        <w:rPr>
          <w:lang w:val="en-US"/>
        </w:rPr>
        <w:fldChar w:fldCharType="begin" w:fldLock="1"/>
      </w:r>
      <w:r w:rsidR="00857265">
        <w:rPr>
          <w:lang w:val="en-US"/>
        </w:rPr>
        <w:instrText>ADDIN CSL_CITATION {"citationItems":[{"id":"ITEM-1","itemData":{"DOI":"10.1016/j.chemphyslip.2015.06.006","ISSN":"18732941","abstract":"The genus Pseudomonas is one of the most heterogeneous groups of eubacteria, presents in all major natural environments and in wide range of associations with plants and animals. The wide distribution of these bacteria is due to the use of specific mechanisms to adapt to environmental modifications. Generally, bacterial adaptation is only considered under the aspect of genes and protein expression, but lipids also play a pivotal role in bacterial functioning and homeostasis. This review resumes the mechanisms and regulations of pseudomonal glycerophospholipid synthesis, and the roles of glycerophospholipids in bacterial metabolism and homeostasis. Recently discovered specific pathways of P. aeruginosa lipid synthesis indicate the lineage dependent mechanisms of fatty acids homeostasis. Pseudomonas glycerophospholipids ensure structure functions and play important roles in bacterial adaptation to environmental modifications. The lipidome of Pseudomonas contains a typical eukaryotic glycerophospholipid - phosphatidylcholine -, which is involved in bacteria-host interactions. The ability of Pseudomonas to exploit eukaryotic lipids shows specific and original strategies developed by these microorganisms to succeed in their infectious process. All compiled data provide the demonstration of the importance of studying the Pseudomonas lipidome to inhibit the infectious potential of these highly versatile germs.","author":[{"dropping-particle":"","family":"Kondakova","given":"Tatiana","non-dropping-particle":"","parse-names":false,"suffix":""},{"dropping-particle":"","family":"D'Heygère","given":"François","non-dropping-particle":"","parse-names":false,"suffix":""},{"dropping-particle":"","family":"Feuilloley","given":"Marc J.","non-dropping-particle":"","parse-names":false,"suffix":""},{"dropping-particle":"","family":"Orange","given":"Nicole","non-dropping-particle":"","parse-names":false,"suffix":""},{"dropping-particle":"","family":"Heipieper","given":"Hermann J.","non-dropping-particle":"","parse-names":false,"suffix":""},{"dropping-particle":"","family":"Duclairoir Poc","given":"Cécile","non-dropping-particle":"","parse-names":false,"suffix":""}],"container-title":"Chemistry and Physics of Lipids","id":"ITEM-1","issued":{"date-parts":[["2015"]]},"page":"27-42","publisher":"Elsevier Ireland Ltd","title":"Glycerophospholipid synthesis and functions in &lt;i&gt;Pseudomonas&lt;/i&gt;","type":"article-journal","volume":"190"},"uris":["http://www.mendeley.com/documents/?uuid=f6477f6a-e1a7-4c58-af89-b2148b114293"]},{"id":"ITEM-2","itemData":{"DOI":"10.1016/j.jbc.2021.101434","ISSN":"1083351X","PMID":"34801557","abstract":"Bacterial fatty acid synthesis in Escherichia coli is initiated by the condensation of an acetyl-CoA with a malonyl-acyl carrier protein (ACP) by the β-ketoacyl-ACP synthase III enzyme, FabH. E. coli ΔfabH knockout strains are viable because of the yiiD gene that allows FabH-independent fatty acid synthesis initiation. However, the molecular function of the yiiD gene product is not known. Here, we show the yiiD gene product is a malonyl-ACP decarboxylase (MadA). MadA has two independently folded domains: an amino-terminal N-acetyl transferase (GNAT) domain (MadAN) and a carboxy-terminal hot dog dimerization domain (MadAC) that encodes the malonyl-ACP decarboxylase function. Members of the proteobacterial Mad protein family are either two domain MadA (GNAT-hot dog) or standalone MadB (hot dog) decarboxylases. Using structure-guided, site-directed mutagenesis of MadB from Shewanella oneidensis, we identified Asn45 on a conserved catalytic loop as critical for decarboxylase activity. We also found that MadA, MadAC, or MadB expression all restored normal cell size and growth rates to an E. coli ΔfabH strain, whereas the expression of MadAN did not. Finally, we verified that GlmU, a bifunctional glucosamine-1-phosphate N-acetyl transferase/N-acetyl-glucosamine-1-phosphate uridylyltransferase that synthesizes the key intermediate UDP-GlcNAc, is an ACP binding protein. Acetyl-ACP is the preferred glucosamine-1-phosphate N-acetyl transferase/N-acetyl-glucosamine-1-phosphate uridylyltransferase substrate, in addition to being the substrate for the elongation-condensing enzymes FabB and FabF. Thus, we conclude that the Mad family of malonyl-ACP decarboxylases supplies acetyl-ACP to support the initiation of fatty acid, lipopolysaccharide, peptidoglycan, and enterobacterial common antigen biosynthesis in Proteobacteria.","author":[{"dropping-particle":"","family":"Whaley","given":"Sarah G.","non-dropping-particle":"","parse-names":false,"suffix":""},{"dropping-particle":"","family":"Radka","given":"Christopher D.","non-dropping-particle":"","parse-names":false,"suffix":""},{"dropping-particle":"","family":"Subramanian","given":"Chitra","non-dropping-particle":"","parse-names":false,"suffix":""},{"dropping-particle":"","family":"Frank","given":"Matthew W.","non-dropping-particle":"","parse-names":false,"suffix":""},{"dropping-particle":"","family":"Rock","given":"Charles O.","non-dropping-particle":"","parse-names":false,"suffix":""}],"container-title":"Journal of Biological Chemistry","id":"ITEM-2","issue":"6","issued":{"date-parts":[["2021"]]},"page":"101434","publisher":"The Authors","title":"Malonyl-acyl carrier protein decarboxylase activity promotes fatty acid and cell envelope biosynthesis in Proteobacteria","type":"article-journal","volume":"297"},"uris":["http://www.mendeley.com/documents/?uuid=360dc978-9458-4d4b-8d0f-81020b2c6c5e"]},{"id":"ITEM-3","itemData":{"author":[{"dropping-particle":"","family":"McNaught","given":"Kevin J.","non-dropping-particle":"","parse-names":false,"suffix":""},{"dropping-particle":"","family":"Kuatsjah","given":"Eugene","non-dropping-particle":"","parse-names":false,"suffix":""},{"dropping-particle":"","family":"Zahn","given":"Michael","non-dropping-particle":"","parse-names":false,"suffix":""},{"dropping-particle":"","family":"Prates","given":"Érica T.","non-dropping-particle":"","parse-names":false,"suffix":""},{"dropping-particle":"","family":"Shao","given":"Huiling","non-dropping-particle":"","parse-names":false,"suffix":""},{"dropping-particle":"","family":"Bentley","given":"Gayle J.","non-dropping-particle":"","parse-names":false,"suffix":""},{"dropping-particle":"","family":"Pickford","given":"Andrew R.","non-dropping-particle":"","parse-names":false,"suffix":""},{"dropping-particle":"","family":"Gruber","given":"Josephine N.","non-dropping-particle":"","parse-names":false,"suffix":""},{"dropping-particle":"V.","family":"Hestmark","given":"Kelley","non-dropping-particle":"","parse-names":false,"suffix":""},{"dropping-particle":"","family":"Jacobson","given":"Daniel A.","non-dropping-particle":"","parse-names":false,"suffix":""},{"dropping-particle":"","family":"Poirier","given":"Brenton C.","non-dropping-particle":"","parse-names":false,"suffix":""},{"dropping-particle":"","family":"Ling","given":"Chen","non-dropping-particle":"","parse-names":false,"suffix":""},{"dropping-particle":"","family":"Marchi","given":"Myrsini San","non-dropping-particle":"","parse-names":false,"suffix":""},{"dropping-particle":"","family":"Michener","given":"William E.","non-dropping-particle":"","parse-names":false,"suffix":""},{"dropping-particle":"","family":"Nicora","given":"Carrie D.","non-dropping-particle":"","parse-names":false,"suffix":""},{"dropping-particle":"","family":"Sanders","given":"Jacob N.","non-dropping-particle":"","parse-names":false,"suffix":""},{"dropping-particle":"","family":"Szostkiewicz","given":"Caralyn J.","non-dropping-particle":"","parse-names":false,"suffix":""},{"dropping-particle":"","family":"Veličković","given":"Dušan","non-dropping-particle":"","parse-names":false,"suffix":""},{"dropping-particle":"","family":"Zhou","given":"Mowei","non-dropping-particle":"","parse-names":false,"suffix":""},{"dropping-particle":"","family":"Munoz","given":"Nathalie","non-dropping-particle":"","parse-names":false,"suffix":""},{"dropping-particle":"","family":"Kim","given":"Young-Mo","non-dropping-particle":"","parse-names":false,"suffix":""},{"dropping-particle":"","family":"Magnuson","given":"Jon K.","non-dropping-particle":"","parse-names":false,"suffix":""},{"dropping-particle":"","family":"Burnum-Johnson","given":"Kristin E.","non-dropping-particle":"","parse-names":false,"suffix":""},{"dropping-particle":"","family":"Houk","given":"K.N.","non-dropping-particle":"","parse-names":false,"suffix":""},{"dropping-particle":"","family":"McGeehan","given":"John E.","non-dropping-particle":"","parse-names":false,"suffix":""},{"dropping-particle":"","family":"Johnson","given":"Christopher W.","non-dropping-particle":"","parse-names":false,"suffix":""},{"dropping-particle":"","family":"Beckham","given":"Gregg T.","non-dropping-particle":"","parse-names":false,"suffix":""}],"container-title":"Metabolic Engineering","id":"ITEM-3","issued":{"date-parts":[["2023"]]},"page":"193-203","title":"Initiation of fatty acid biosynthesis in &lt;i&gt;Pseudomonas putida&lt;/i&gt; KT2440","type":"article-journal","volume":"76"},"uris":["http://www.mendeley.com/documents/?uuid=0cf97a11-91b5-4b56-8791-4c43ad4690f4"]}],"mendeley":{"formattedCitation":"(Kondakova et al., 2015; McNaught et al., 2023; Whaley et al., 2021)","plainTextFormattedCitation":"(Kondakova et al., 2015; McNaught et al., 2023; Whaley et al., 2021)","previouslyFormattedCitation":"(Kondakova et al., 2015; Whaley et al., 2021)"},"properties":{"noteIndex":0},"schema":"https://github.com/citation-style-language/schema/raw/master/csl-citation.json"}</w:instrText>
      </w:r>
      <w:r w:rsidR="00650C92" w:rsidRPr="002A6BF2">
        <w:rPr>
          <w:lang w:val="en-US"/>
        </w:rPr>
        <w:fldChar w:fldCharType="separate"/>
      </w:r>
      <w:r w:rsidR="00857265" w:rsidRPr="00857265">
        <w:rPr>
          <w:noProof/>
          <w:lang w:val="en-US"/>
        </w:rPr>
        <w:t>(Kondakova et al., 2015; McNaught et al., 2023; Whaley et al., 2021)</w:t>
      </w:r>
      <w:r w:rsidR="00650C92" w:rsidRPr="002A6BF2">
        <w:rPr>
          <w:lang w:val="en-US"/>
        </w:rPr>
        <w:fldChar w:fldCharType="end"/>
      </w:r>
      <w:r w:rsidR="00156B95" w:rsidRPr="002A6BF2">
        <w:rPr>
          <w:lang w:val="en-US"/>
        </w:rPr>
        <w:t xml:space="preserve"> and deletions</w:t>
      </w:r>
      <w:r w:rsidR="00DD6281" w:rsidRPr="002A6BF2">
        <w:rPr>
          <w:lang w:val="en-US"/>
        </w:rPr>
        <w:t>,</w:t>
      </w:r>
      <w:r w:rsidR="00156B95" w:rsidRPr="002A6BF2">
        <w:rPr>
          <w:lang w:val="en-US"/>
        </w:rPr>
        <w:t xml:space="preserve"> we </w:t>
      </w:r>
      <w:r w:rsidR="00777867" w:rsidRPr="002A6BF2">
        <w:rPr>
          <w:lang w:val="en-US"/>
        </w:rPr>
        <w:t xml:space="preserve">depicted </w:t>
      </w:r>
      <w:r w:rsidR="00156B95" w:rsidRPr="002A6BF2">
        <w:rPr>
          <w:lang w:val="en-US"/>
        </w:rPr>
        <w:t xml:space="preserve">the fatty acid biosynthesis pathway in </w:t>
      </w:r>
      <w:r w:rsidR="00156B95" w:rsidRPr="002A6BF2">
        <w:rPr>
          <w:i/>
          <w:lang w:val="en-US"/>
        </w:rPr>
        <w:t>P. taiwanensis</w:t>
      </w:r>
      <w:r w:rsidR="00417BBB" w:rsidRPr="002A6BF2">
        <w:rPr>
          <w:i/>
          <w:lang w:val="en-US"/>
        </w:rPr>
        <w:t xml:space="preserve"> </w:t>
      </w:r>
      <w:r w:rsidR="00156B95" w:rsidRPr="002A6BF2">
        <w:rPr>
          <w:lang w:val="en-US"/>
        </w:rPr>
        <w:t>(</w:t>
      </w:r>
      <w:r w:rsidR="005215A2" w:rsidRPr="002A6BF2">
        <w:rPr>
          <w:lang w:val="en-US"/>
        </w:rPr>
        <w:t>S</w:t>
      </w:r>
      <w:r w:rsidR="00156B95" w:rsidRPr="002A6BF2">
        <w:rPr>
          <w:lang w:val="en-US"/>
        </w:rPr>
        <w:t xml:space="preserve">upplementary </w:t>
      </w:r>
      <w:r w:rsidR="00325010" w:rsidRPr="002A6BF2">
        <w:rPr>
          <w:lang w:val="en-US"/>
        </w:rPr>
        <w:t>Fig.</w:t>
      </w:r>
      <w:r w:rsidR="009117A6" w:rsidRPr="002A6BF2">
        <w:rPr>
          <w:lang w:val="en-US"/>
        </w:rPr>
        <w:t xml:space="preserve"> </w:t>
      </w:r>
      <w:r w:rsidR="00E16CE2" w:rsidRPr="002A6BF2">
        <w:rPr>
          <w:lang w:val="en-US"/>
        </w:rPr>
        <w:t>S15</w:t>
      </w:r>
      <w:r w:rsidR="00156B95" w:rsidRPr="002A6BF2">
        <w:rPr>
          <w:lang w:val="en-US"/>
        </w:rPr>
        <w:t>).</w:t>
      </w:r>
    </w:p>
    <w:p w14:paraId="026ADFFE" w14:textId="11793EAF" w:rsidR="00DF0052" w:rsidRPr="002A6BF2" w:rsidRDefault="003C4392" w:rsidP="00B84A00">
      <w:pPr>
        <w:spacing w:line="276" w:lineRule="auto"/>
        <w:jc w:val="both"/>
        <w:rPr>
          <w:lang w:val="en-US"/>
        </w:rPr>
      </w:pPr>
      <w:r w:rsidRPr="002A6BF2">
        <w:rPr>
          <w:noProof/>
          <w:lang w:eastAsia="de-DE"/>
        </w:rPr>
        <w:lastRenderedPageBreak/>
        <w:drawing>
          <wp:inline distT="0" distB="0" distL="0" distR="0" wp14:anchorId="13168B15" wp14:editId="533B6A46">
            <wp:extent cx="5746659" cy="5337342"/>
            <wp:effectExtent l="0" t="0" r="698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714" cy="5345752"/>
                    </a:xfrm>
                    <a:prstGeom prst="rect">
                      <a:avLst/>
                    </a:prstGeom>
                    <a:noFill/>
                  </pic:spPr>
                </pic:pic>
              </a:graphicData>
            </a:graphic>
          </wp:inline>
        </w:drawing>
      </w:r>
    </w:p>
    <w:p w14:paraId="0E8C73FE" w14:textId="119891C2" w:rsidR="00957610" w:rsidRPr="002A6BF2" w:rsidRDefault="00325010" w:rsidP="00B84A00">
      <w:pPr>
        <w:spacing w:line="276" w:lineRule="auto"/>
        <w:jc w:val="both"/>
        <w:rPr>
          <w:lang w:val="en-US"/>
        </w:rPr>
      </w:pPr>
      <w:r w:rsidRPr="002A6BF2">
        <w:rPr>
          <w:lang w:val="en-US"/>
        </w:rPr>
        <w:t>Fig.</w:t>
      </w:r>
      <w:r w:rsidR="00F36AD9" w:rsidRPr="002A6BF2">
        <w:rPr>
          <w:lang w:val="en-US"/>
        </w:rPr>
        <w:t xml:space="preserve"> </w:t>
      </w:r>
      <w:r w:rsidR="001B2F2F" w:rsidRPr="002A6BF2">
        <w:rPr>
          <w:lang w:val="en-US"/>
        </w:rPr>
        <w:t>6</w:t>
      </w:r>
      <w:r w:rsidR="00F36AD9" w:rsidRPr="002A6BF2">
        <w:rPr>
          <w:lang w:val="en-US"/>
        </w:rPr>
        <w:t xml:space="preserve"> </w:t>
      </w:r>
      <w:r w:rsidR="009B4712" w:rsidRPr="002A6BF2">
        <w:rPr>
          <w:lang w:val="en-US"/>
        </w:rPr>
        <w:t xml:space="preserve">Flaviolin </w:t>
      </w:r>
      <w:r w:rsidR="00F36AD9" w:rsidRPr="002A6BF2">
        <w:rPr>
          <w:lang w:val="en-US"/>
        </w:rPr>
        <w:t>titers</w:t>
      </w:r>
      <w:r w:rsidR="009B4712" w:rsidRPr="002A6BF2">
        <w:rPr>
          <w:lang w:val="en-US"/>
        </w:rPr>
        <w:t xml:space="preserve"> in supernatant</w:t>
      </w:r>
      <w:r w:rsidR="009117A6" w:rsidRPr="002A6BF2">
        <w:rPr>
          <w:lang w:val="en-US"/>
        </w:rPr>
        <w:t>s</w:t>
      </w:r>
      <w:r w:rsidR="00F36AD9" w:rsidRPr="002A6BF2">
        <w:rPr>
          <w:lang w:val="en-US"/>
        </w:rPr>
        <w:t xml:space="preserve"> of different </w:t>
      </w:r>
      <w:r w:rsidR="009B4712" w:rsidRPr="002A6BF2">
        <w:rPr>
          <w:lang w:val="en-US"/>
        </w:rPr>
        <w:t xml:space="preserve">flaviolin producer </w:t>
      </w:r>
      <w:r w:rsidR="00F36AD9" w:rsidRPr="002A6BF2">
        <w:rPr>
          <w:lang w:val="en-US"/>
        </w:rPr>
        <w:t>strains</w:t>
      </w:r>
      <w:r w:rsidR="00A811B9" w:rsidRPr="002A6BF2">
        <w:rPr>
          <w:lang w:val="en-US"/>
        </w:rPr>
        <w:t xml:space="preserve"> based on </w:t>
      </w:r>
      <w:r w:rsidR="007C4329" w:rsidRPr="002A6BF2">
        <w:rPr>
          <w:lang w:val="en-US"/>
        </w:rPr>
        <w:t xml:space="preserve">aromatics catabolism deficient </w:t>
      </w:r>
      <w:r w:rsidR="00A811B9" w:rsidRPr="002A6BF2">
        <w:rPr>
          <w:lang w:val="en-US"/>
        </w:rPr>
        <w:t>GRC3</w:t>
      </w:r>
      <w:r w:rsidR="00A811B9" w:rsidRPr="002A6BF2">
        <w:rPr>
          <w:rFonts w:cstheme="minorHAnsi"/>
          <w:lang w:val="en-US"/>
        </w:rPr>
        <w:t>Δ</w:t>
      </w:r>
      <w:r w:rsidR="00A811B9" w:rsidRPr="002A6BF2">
        <w:rPr>
          <w:lang w:val="en-US"/>
        </w:rPr>
        <w:t>6 with</w:t>
      </w:r>
      <w:r w:rsidR="007C4329" w:rsidRPr="002A6BF2">
        <w:rPr>
          <w:lang w:val="en-US"/>
        </w:rPr>
        <w:t xml:space="preserve"> additional</w:t>
      </w:r>
      <w:r w:rsidR="00A811B9" w:rsidRPr="002A6BF2">
        <w:rPr>
          <w:lang w:val="en-US"/>
        </w:rPr>
        <w:t xml:space="preserve"> indicated modifications</w:t>
      </w:r>
      <w:r w:rsidR="00594CFF" w:rsidRPr="002A6BF2">
        <w:rPr>
          <w:lang w:val="en-US"/>
        </w:rPr>
        <w:t xml:space="preserve"> (A)</w:t>
      </w:r>
      <w:r w:rsidR="009B4712" w:rsidRPr="002A6BF2">
        <w:rPr>
          <w:lang w:val="en-US"/>
        </w:rPr>
        <w:t xml:space="preserve">. </w:t>
      </w:r>
      <w:r w:rsidR="00EB1081" w:rsidRPr="002A6BF2">
        <w:rPr>
          <w:lang w:val="en-US"/>
        </w:rPr>
        <w:t>Cultivation in MSM with 3x buffer, 30 mM glucose or with additional 10 mM formate in 1.5 mL square-well System Duetz plate, inoculation with 1% of adaption culture.</w:t>
      </w:r>
      <w:r w:rsidR="000F3122" w:rsidRPr="002A6BF2">
        <w:rPr>
          <w:lang w:val="en-US"/>
        </w:rPr>
        <w:t xml:space="preserve"> </w:t>
      </w:r>
      <w:r w:rsidR="00836892" w:rsidRPr="002A6BF2">
        <w:rPr>
          <w:lang w:val="en-US"/>
        </w:rPr>
        <w:t xml:space="preserve">Samples were taken after 91 h and 92.5 h, respectively to ensure full growth and THN to flaviolin oxidation. </w:t>
      </w:r>
      <w:r w:rsidR="00A811B9" w:rsidRPr="002A6BF2">
        <w:rPr>
          <w:lang w:val="en-US"/>
        </w:rPr>
        <w:t xml:space="preserve">Error bars represent the standard deviation (n=3) and significance (p&lt;0.05) is indicated by * </w:t>
      </w:r>
      <w:r w:rsidR="00D05A91" w:rsidRPr="002A6BF2">
        <w:rPr>
          <w:lang w:val="en-US"/>
        </w:rPr>
        <w:t>(**, p</w:t>
      </w:r>
      <w:r w:rsidR="00D05A91" w:rsidRPr="002A6BF2">
        <w:rPr>
          <w:rFonts w:cstheme="minorHAnsi"/>
          <w:lang w:val="en-US"/>
        </w:rPr>
        <w:t>≤</w:t>
      </w:r>
      <w:r w:rsidR="00D05A91" w:rsidRPr="002A6BF2">
        <w:rPr>
          <w:lang w:val="en-US"/>
        </w:rPr>
        <w:t>0.01; ***, p</w:t>
      </w:r>
      <w:r w:rsidR="00D05A91" w:rsidRPr="002A6BF2">
        <w:rPr>
          <w:rFonts w:cstheme="minorHAnsi"/>
          <w:lang w:val="en-US"/>
        </w:rPr>
        <w:t>≤</w:t>
      </w:r>
      <w:r w:rsidR="00D05A91" w:rsidRPr="002A6BF2">
        <w:rPr>
          <w:lang w:val="en-US"/>
        </w:rPr>
        <w:t>0.001; ****, p</w:t>
      </w:r>
      <w:r w:rsidR="00D05A91" w:rsidRPr="002A6BF2">
        <w:rPr>
          <w:rFonts w:cstheme="minorHAnsi"/>
          <w:lang w:val="en-US"/>
        </w:rPr>
        <w:t>≤</w:t>
      </w:r>
      <w:r w:rsidR="00D05A91" w:rsidRPr="002A6BF2">
        <w:rPr>
          <w:lang w:val="en-US"/>
        </w:rPr>
        <w:t xml:space="preserve">0.0001) </w:t>
      </w:r>
      <w:r w:rsidR="00A811B9" w:rsidRPr="002A6BF2">
        <w:rPr>
          <w:lang w:val="en-US"/>
        </w:rPr>
        <w:t>from two-way ANOVA. Abbreviation: ns, not significant</w:t>
      </w:r>
      <w:r w:rsidR="001B2F2F" w:rsidRPr="002A6BF2">
        <w:rPr>
          <w:lang w:val="en-US"/>
        </w:rPr>
        <w:t>;</w:t>
      </w:r>
      <w:r w:rsidR="00A811B9" w:rsidRPr="002A6BF2">
        <w:rPr>
          <w:lang w:val="en-US"/>
        </w:rPr>
        <w:t xml:space="preserve"> GRC3</w:t>
      </w:r>
      <w:r w:rsidR="00A811B9" w:rsidRPr="002A6BF2">
        <w:rPr>
          <w:rFonts w:cstheme="minorHAnsi"/>
          <w:lang w:val="en-US"/>
        </w:rPr>
        <w:t>Δ</w:t>
      </w:r>
      <w:r w:rsidR="00A811B9" w:rsidRPr="002A6BF2">
        <w:rPr>
          <w:lang w:val="en-US"/>
        </w:rPr>
        <w:t xml:space="preserve">6 MC-I, </w:t>
      </w:r>
      <w:r w:rsidR="002C1365" w:rsidRPr="002A6BF2">
        <w:rPr>
          <w:lang w:val="en-US"/>
        </w:rPr>
        <w:t xml:space="preserve">genotype of </w:t>
      </w:r>
      <w:r w:rsidR="00A811B9" w:rsidRPr="002A6BF2">
        <w:rPr>
          <w:lang w:val="en-US"/>
        </w:rPr>
        <w:t>malonyl-CoA platform strain 1; GRC3</w:t>
      </w:r>
      <w:r w:rsidR="00A811B9" w:rsidRPr="002A6BF2">
        <w:rPr>
          <w:rFonts w:cstheme="minorHAnsi"/>
          <w:lang w:val="en-US"/>
        </w:rPr>
        <w:t>Δ</w:t>
      </w:r>
      <w:r w:rsidR="00A811B9" w:rsidRPr="002A6BF2">
        <w:rPr>
          <w:lang w:val="en-US"/>
        </w:rPr>
        <w:t xml:space="preserve">6 MC-II, </w:t>
      </w:r>
      <w:r w:rsidR="002C1365" w:rsidRPr="002A6BF2">
        <w:rPr>
          <w:lang w:val="en-US"/>
        </w:rPr>
        <w:t xml:space="preserve">genotype of </w:t>
      </w:r>
      <w:r w:rsidR="00A811B9" w:rsidRPr="002A6BF2">
        <w:rPr>
          <w:lang w:val="en-US"/>
        </w:rPr>
        <w:t>malonyl-CoA platform strain 2.</w:t>
      </w:r>
      <w:r w:rsidR="00D67851" w:rsidRPr="002A6BF2">
        <w:rPr>
          <w:lang w:val="en-US"/>
        </w:rPr>
        <w:t xml:space="preserve"> </w:t>
      </w:r>
      <w:r w:rsidR="00CB54F7" w:rsidRPr="002A6BF2">
        <w:rPr>
          <w:lang w:val="en-US"/>
        </w:rPr>
        <w:t>An i</w:t>
      </w:r>
      <w:r w:rsidR="00594CFF" w:rsidRPr="002A6BF2">
        <w:rPr>
          <w:lang w:val="en-US"/>
        </w:rPr>
        <w:t xml:space="preserve">llustration of </w:t>
      </w:r>
      <w:r w:rsidR="00BF6BA0" w:rsidRPr="002A6BF2">
        <w:rPr>
          <w:lang w:val="en-US"/>
        </w:rPr>
        <w:t xml:space="preserve">the genetic design of </w:t>
      </w:r>
      <w:r w:rsidR="00BF6BA0" w:rsidRPr="002A6BF2">
        <w:rPr>
          <w:i/>
          <w:lang w:val="en-US"/>
        </w:rPr>
        <w:t>fabF-2</w:t>
      </w:r>
      <w:r w:rsidR="00BF6BA0" w:rsidRPr="002A6BF2">
        <w:rPr>
          <w:lang w:val="en-US"/>
        </w:rPr>
        <w:t xml:space="preserve"> integration and deletion of native </w:t>
      </w:r>
      <w:r w:rsidR="00BF6BA0" w:rsidRPr="002A6BF2">
        <w:rPr>
          <w:i/>
          <w:lang w:val="en-US"/>
        </w:rPr>
        <w:lastRenderedPageBreak/>
        <w:t>fabF</w:t>
      </w:r>
      <w:r w:rsidR="00BF6BA0" w:rsidRPr="002A6BF2">
        <w:rPr>
          <w:lang w:val="en-US"/>
        </w:rPr>
        <w:t xml:space="preserve"> in the genomic context of the wild-type sequence and </w:t>
      </w:r>
      <w:r w:rsidR="00594CFF" w:rsidRPr="002A6BF2">
        <w:rPr>
          <w:lang w:val="en-US"/>
        </w:rPr>
        <w:t>GRC3</w:t>
      </w:r>
      <w:r w:rsidR="00594CFF" w:rsidRPr="002A6BF2">
        <w:rPr>
          <w:rFonts w:cstheme="minorHAnsi"/>
          <w:lang w:val="en-US"/>
        </w:rPr>
        <w:t>Δ</w:t>
      </w:r>
      <w:r w:rsidR="00594CFF" w:rsidRPr="002A6BF2">
        <w:rPr>
          <w:lang w:val="en-US"/>
        </w:rPr>
        <w:t xml:space="preserve">6MC-II </w:t>
      </w:r>
      <w:r w:rsidR="00CB54F7" w:rsidRPr="002A6BF2">
        <w:rPr>
          <w:lang w:val="en-US"/>
        </w:rPr>
        <w:t xml:space="preserve">is shown in </w:t>
      </w:r>
      <w:r w:rsidR="00594CFF" w:rsidRPr="002A6BF2">
        <w:rPr>
          <w:lang w:val="en-US"/>
        </w:rPr>
        <w:t xml:space="preserve">(B). </w:t>
      </w:r>
      <w:r w:rsidR="003C4392" w:rsidRPr="002A6BF2">
        <w:rPr>
          <w:lang w:val="en-US"/>
        </w:rPr>
        <w:t xml:space="preserve">PVLB_02480, hypothetical protein; PVLB_02485, carbamoyltransferase; </w:t>
      </w:r>
      <w:r w:rsidR="003C4392" w:rsidRPr="002A6BF2">
        <w:rPr>
          <w:i/>
          <w:lang w:val="en-US"/>
        </w:rPr>
        <w:t>plsX</w:t>
      </w:r>
      <w:r w:rsidR="003C4392" w:rsidRPr="002A6BF2">
        <w:rPr>
          <w:lang w:val="en-US"/>
        </w:rPr>
        <w:t xml:space="preserve">, phosphate acyltransferase; </w:t>
      </w:r>
      <w:r w:rsidR="003C4392" w:rsidRPr="002A6BF2">
        <w:rPr>
          <w:i/>
          <w:lang w:val="en-US"/>
        </w:rPr>
        <w:t>fabD</w:t>
      </w:r>
      <w:r w:rsidR="003C4392" w:rsidRPr="002A6BF2">
        <w:rPr>
          <w:lang w:val="en-US"/>
        </w:rPr>
        <w:t xml:space="preserve">, malonyl CoA-acyl carrier protein transacylase; </w:t>
      </w:r>
      <w:r w:rsidR="003C4392" w:rsidRPr="002A6BF2">
        <w:rPr>
          <w:i/>
          <w:lang w:val="en-US"/>
        </w:rPr>
        <w:t>fabG3</w:t>
      </w:r>
      <w:r w:rsidR="003C4392" w:rsidRPr="002A6BF2">
        <w:rPr>
          <w:lang w:val="en-US"/>
        </w:rPr>
        <w:t xml:space="preserve">, 3-ketoacyl-(acyl-carrier-protein) reductase; </w:t>
      </w:r>
      <w:r w:rsidR="003C4392" w:rsidRPr="002A6BF2">
        <w:rPr>
          <w:i/>
          <w:lang w:val="en-US"/>
        </w:rPr>
        <w:t>acpP</w:t>
      </w:r>
      <w:r w:rsidR="003C4392" w:rsidRPr="002A6BF2">
        <w:rPr>
          <w:lang w:val="en-US"/>
        </w:rPr>
        <w:t xml:space="preserve">, acyl carrier protein; </w:t>
      </w:r>
      <w:r w:rsidR="003C4392" w:rsidRPr="002A6BF2">
        <w:rPr>
          <w:i/>
          <w:lang w:val="en-US"/>
        </w:rPr>
        <w:t>fabF</w:t>
      </w:r>
      <w:r w:rsidR="003C4392" w:rsidRPr="002A6BF2">
        <w:rPr>
          <w:lang w:val="en-US"/>
        </w:rPr>
        <w:t xml:space="preserve">, 3-oxoacyl-(acyl carrier protein) synthase II; </w:t>
      </w:r>
      <w:r w:rsidR="003C4392" w:rsidRPr="002A6BF2">
        <w:rPr>
          <w:i/>
          <w:lang w:val="en-US"/>
        </w:rPr>
        <w:t>pabC</w:t>
      </w:r>
      <w:r w:rsidR="003C4392" w:rsidRPr="002A6BF2">
        <w:rPr>
          <w:lang w:val="en-US"/>
        </w:rPr>
        <w:t>, 4-amino-4-deoxychorismate lyase; PVLB_07195, hypothetical protein</w:t>
      </w:r>
    </w:p>
    <w:p w14:paraId="1E64459B" w14:textId="7B44329E" w:rsidR="00515F79" w:rsidRPr="002A6BF2" w:rsidRDefault="00515F79" w:rsidP="00B84A00">
      <w:pPr>
        <w:spacing w:line="276" w:lineRule="auto"/>
        <w:jc w:val="both"/>
        <w:rPr>
          <w:lang w:val="en-US"/>
        </w:rPr>
      </w:pPr>
    </w:p>
    <w:p w14:paraId="515AB5BC" w14:textId="11B48E56" w:rsidR="00865E8F" w:rsidRPr="002A6BF2" w:rsidRDefault="009C5DB0" w:rsidP="00B84A00">
      <w:pPr>
        <w:pStyle w:val="berschrift2"/>
        <w:numPr>
          <w:ilvl w:val="1"/>
          <w:numId w:val="11"/>
        </w:numPr>
        <w:spacing w:line="276" w:lineRule="auto"/>
        <w:rPr>
          <w:lang w:val="en-US"/>
        </w:rPr>
      </w:pPr>
      <w:r w:rsidRPr="002A6BF2">
        <w:rPr>
          <w:lang w:val="en-US"/>
        </w:rPr>
        <w:t xml:space="preserve">Overexpression of </w:t>
      </w:r>
      <w:r w:rsidR="0018204E" w:rsidRPr="002A6BF2">
        <w:rPr>
          <w:lang w:val="en-US"/>
        </w:rPr>
        <w:t>Cg</w:t>
      </w:r>
      <w:r w:rsidRPr="002A6BF2">
        <w:rPr>
          <w:lang w:val="en-US"/>
        </w:rPr>
        <w:t>ACC enhances stilbenoid production</w:t>
      </w:r>
    </w:p>
    <w:p w14:paraId="2235BABC" w14:textId="1CAA01A5" w:rsidR="00AF65DF" w:rsidRPr="002A6BF2" w:rsidRDefault="00DF006C" w:rsidP="00B84A00">
      <w:pPr>
        <w:spacing w:line="276" w:lineRule="auto"/>
        <w:jc w:val="both"/>
        <w:rPr>
          <w:lang w:val="en-US"/>
        </w:rPr>
      </w:pPr>
      <w:r w:rsidRPr="002A6BF2">
        <w:rPr>
          <w:lang w:val="en-US"/>
        </w:rPr>
        <w:t>A</w:t>
      </w:r>
      <w:r w:rsidR="005C113D" w:rsidRPr="002A6BF2">
        <w:rPr>
          <w:lang w:val="en-US"/>
        </w:rPr>
        <w:t xml:space="preserve">fter </w:t>
      </w:r>
      <w:r w:rsidRPr="002A6BF2">
        <w:rPr>
          <w:lang w:val="en-US"/>
        </w:rPr>
        <w:t xml:space="preserve">increasing flaviolin titers by </w:t>
      </w:r>
      <w:r w:rsidR="009824B5" w:rsidRPr="002A6BF2">
        <w:rPr>
          <w:lang w:val="en-US"/>
        </w:rPr>
        <w:t>reducing</w:t>
      </w:r>
      <w:r w:rsidR="005C113D" w:rsidRPr="002A6BF2">
        <w:rPr>
          <w:lang w:val="en-US"/>
        </w:rPr>
        <w:t xml:space="preserve"> </w:t>
      </w:r>
      <w:r w:rsidR="00DD6281" w:rsidRPr="002A6BF2">
        <w:rPr>
          <w:lang w:val="en-US"/>
        </w:rPr>
        <w:t>FAS</w:t>
      </w:r>
      <w:r w:rsidR="00515F79" w:rsidRPr="002A6BF2">
        <w:rPr>
          <w:lang w:val="en-US"/>
        </w:rPr>
        <w:t>,</w:t>
      </w:r>
      <w:r w:rsidR="005C113D" w:rsidRPr="002A6BF2">
        <w:rPr>
          <w:lang w:val="en-US"/>
        </w:rPr>
        <w:t xml:space="preserve"> additional expression of CgACC </w:t>
      </w:r>
      <w:r w:rsidRPr="002A6BF2">
        <w:rPr>
          <w:lang w:val="en-US"/>
        </w:rPr>
        <w:t xml:space="preserve">did not </w:t>
      </w:r>
      <w:r w:rsidR="00503EA7" w:rsidRPr="002A6BF2">
        <w:rPr>
          <w:lang w:val="en-US"/>
        </w:rPr>
        <w:t xml:space="preserve">further increase </w:t>
      </w:r>
      <w:r w:rsidR="0077028B" w:rsidRPr="002A6BF2">
        <w:rPr>
          <w:lang w:val="en-US"/>
        </w:rPr>
        <w:t xml:space="preserve">flaviolin </w:t>
      </w:r>
      <w:r w:rsidR="003D54B8" w:rsidRPr="002A6BF2">
        <w:rPr>
          <w:lang w:val="en-US"/>
        </w:rPr>
        <w:t>titer</w:t>
      </w:r>
      <w:r w:rsidR="00503EA7" w:rsidRPr="002A6BF2">
        <w:rPr>
          <w:lang w:val="en-US"/>
        </w:rPr>
        <w:t>s</w:t>
      </w:r>
      <w:r w:rsidR="005C113D" w:rsidRPr="002A6BF2">
        <w:rPr>
          <w:lang w:val="en-US"/>
        </w:rPr>
        <w:t xml:space="preserve"> (</w:t>
      </w:r>
      <w:r w:rsidR="00325010" w:rsidRPr="002A6BF2">
        <w:rPr>
          <w:lang w:val="en-US"/>
        </w:rPr>
        <w:t>Fig.</w:t>
      </w:r>
      <w:r w:rsidR="001635FF" w:rsidRPr="002A6BF2">
        <w:rPr>
          <w:lang w:val="en-US"/>
        </w:rPr>
        <w:t xml:space="preserve"> 6, </w:t>
      </w:r>
      <w:r w:rsidR="007E6F0B" w:rsidRPr="002A6BF2">
        <w:rPr>
          <w:lang w:val="en-US"/>
        </w:rPr>
        <w:t>S</w:t>
      </w:r>
      <w:r w:rsidR="00682385" w:rsidRPr="002A6BF2">
        <w:rPr>
          <w:lang w:val="en-US"/>
        </w:rPr>
        <w:t>upplement</w:t>
      </w:r>
      <w:r w:rsidR="00602358" w:rsidRPr="002A6BF2">
        <w:rPr>
          <w:lang w:val="en-US"/>
        </w:rPr>
        <w:t>ary</w:t>
      </w:r>
      <w:r w:rsidR="005C113D" w:rsidRPr="002A6BF2">
        <w:rPr>
          <w:lang w:val="en-US"/>
        </w:rPr>
        <w:t xml:space="preserve"> </w:t>
      </w:r>
      <w:r w:rsidR="00E16CE2" w:rsidRPr="002A6BF2">
        <w:rPr>
          <w:lang w:val="en-US"/>
        </w:rPr>
        <w:t>S12</w:t>
      </w:r>
      <w:r w:rsidR="005C113D" w:rsidRPr="002A6BF2">
        <w:rPr>
          <w:lang w:val="en-US"/>
        </w:rPr>
        <w:t>)</w:t>
      </w:r>
      <w:r w:rsidR="00515F79" w:rsidRPr="002A6BF2">
        <w:rPr>
          <w:lang w:val="en-US"/>
        </w:rPr>
        <w:t>.</w:t>
      </w:r>
      <w:r w:rsidR="00B87A23" w:rsidRPr="002A6BF2">
        <w:rPr>
          <w:lang w:val="en-US"/>
        </w:rPr>
        <w:t xml:space="preserve"> </w:t>
      </w:r>
      <w:r w:rsidR="003056A8" w:rsidRPr="002A6BF2">
        <w:rPr>
          <w:lang w:val="en-US"/>
        </w:rPr>
        <w:t>T</w:t>
      </w:r>
      <w:r w:rsidR="007E6F0B" w:rsidRPr="002A6BF2">
        <w:rPr>
          <w:lang w:val="en-US"/>
        </w:rPr>
        <w:t>he modifications likely increased the net flux towards malonyl-CoA</w:t>
      </w:r>
      <w:r w:rsidR="003056A8" w:rsidRPr="002A6BF2">
        <w:rPr>
          <w:lang w:val="en-US"/>
        </w:rPr>
        <w:t>, but</w:t>
      </w:r>
      <w:r w:rsidR="007E6F0B" w:rsidRPr="002A6BF2">
        <w:rPr>
          <w:lang w:val="en-US"/>
        </w:rPr>
        <w:t xml:space="preserve"> they also likely increased the intracellular malonyl-CoA concentration, affecting enzyme kinetics. This effect is not apparent with RppA due to its low Km</w:t>
      </w:r>
      <w:r w:rsidR="00924473" w:rsidRPr="002A6BF2">
        <w:rPr>
          <w:lang w:val="en-US"/>
        </w:rPr>
        <w:t xml:space="preserve"> (Supplement</w:t>
      </w:r>
      <w:r w:rsidR="00AC6438" w:rsidRPr="002A6BF2">
        <w:rPr>
          <w:lang w:val="en-US"/>
        </w:rPr>
        <w:t>ary</w:t>
      </w:r>
      <w:r w:rsidR="00924473" w:rsidRPr="002A6BF2">
        <w:rPr>
          <w:lang w:val="en-US"/>
        </w:rPr>
        <w:t xml:space="preserve"> </w:t>
      </w:r>
      <w:r w:rsidR="00E16CE2" w:rsidRPr="002A6BF2">
        <w:rPr>
          <w:lang w:val="en-US"/>
        </w:rPr>
        <w:t>S12</w:t>
      </w:r>
      <w:r w:rsidR="00924473" w:rsidRPr="002A6BF2">
        <w:rPr>
          <w:lang w:val="en-US"/>
        </w:rPr>
        <w:t>)</w:t>
      </w:r>
      <w:r w:rsidR="007E6F0B" w:rsidRPr="002A6BF2">
        <w:rPr>
          <w:lang w:val="en-US"/>
        </w:rPr>
        <w:t>, but other synthases for more complex molecules often have a much hig</w:t>
      </w:r>
      <w:r w:rsidR="00924473" w:rsidRPr="002A6BF2">
        <w:rPr>
          <w:lang w:val="en-US"/>
        </w:rPr>
        <w:t>h</w:t>
      </w:r>
      <w:r w:rsidR="007E6F0B" w:rsidRPr="002A6BF2">
        <w:rPr>
          <w:lang w:val="en-US"/>
        </w:rPr>
        <w:t>er Km</w:t>
      </w:r>
      <w:r w:rsidR="00DA4E8F" w:rsidRPr="002A6BF2">
        <w:rPr>
          <w:lang w:val="en-US"/>
        </w:rPr>
        <w:t xml:space="preserve">, thus highlighting </w:t>
      </w:r>
      <w:r w:rsidR="007E6F0B" w:rsidRPr="002A6BF2">
        <w:rPr>
          <w:lang w:val="en-US"/>
        </w:rPr>
        <w:t>a limitation of flaviolin as reporter.</w:t>
      </w:r>
      <w:r w:rsidR="005C113D" w:rsidRPr="002A6BF2">
        <w:rPr>
          <w:lang w:val="en-US"/>
        </w:rPr>
        <w:t xml:space="preserve"> </w:t>
      </w:r>
    </w:p>
    <w:p w14:paraId="6AAD641A" w14:textId="399A91A8" w:rsidR="00597026" w:rsidRPr="002A6BF2" w:rsidRDefault="0080313F" w:rsidP="00B84A00">
      <w:pPr>
        <w:spacing w:line="276" w:lineRule="auto"/>
        <w:jc w:val="both"/>
        <w:rPr>
          <w:lang w:val="en-US"/>
        </w:rPr>
      </w:pPr>
      <w:r w:rsidRPr="002A6BF2">
        <w:rPr>
          <w:lang w:val="en-US"/>
        </w:rPr>
        <w:t>To</w:t>
      </w:r>
      <w:r w:rsidR="00B513B6" w:rsidRPr="002A6BF2">
        <w:rPr>
          <w:lang w:val="en-US"/>
        </w:rPr>
        <w:t xml:space="preserve"> test </w:t>
      </w:r>
      <w:r w:rsidR="009C5DB0" w:rsidRPr="002A6BF2">
        <w:rPr>
          <w:lang w:val="en-US"/>
        </w:rPr>
        <w:t xml:space="preserve">this hypothesis, and </w:t>
      </w:r>
      <w:r w:rsidR="00DA4E8F" w:rsidRPr="002A6BF2">
        <w:rPr>
          <w:lang w:val="en-US"/>
        </w:rPr>
        <w:t xml:space="preserve">to </w:t>
      </w:r>
      <w:r w:rsidR="009C5DB0" w:rsidRPr="002A6BF2">
        <w:rPr>
          <w:lang w:val="en-US"/>
        </w:rPr>
        <w:t xml:space="preserve">determine </w:t>
      </w:r>
      <w:r w:rsidR="00B513B6" w:rsidRPr="002A6BF2">
        <w:rPr>
          <w:lang w:val="en-US"/>
        </w:rPr>
        <w:t>whether the overexpression of acetyl-CoA synthase</w:t>
      </w:r>
      <w:r w:rsidR="00B513B6" w:rsidRPr="002A6BF2">
        <w:rPr>
          <w:i/>
          <w:iCs/>
          <w:lang w:val="en-US"/>
        </w:rPr>
        <w:t xml:space="preserve"> </w:t>
      </w:r>
      <w:r w:rsidR="00B513B6" w:rsidRPr="002A6BF2">
        <w:rPr>
          <w:lang w:val="en-US"/>
        </w:rPr>
        <w:t xml:space="preserve">provides a benefit for other polyketide synthases, the pinosylvin production module was inserted into </w:t>
      </w:r>
      <w:r w:rsidR="00B513B6" w:rsidRPr="002A6BF2">
        <w:rPr>
          <w:i/>
          <w:iCs/>
          <w:lang w:val="en-US"/>
        </w:rPr>
        <w:t xml:space="preserve">P. taiwanensis </w:t>
      </w:r>
      <w:r w:rsidR="00B513B6" w:rsidRPr="002A6BF2">
        <w:rPr>
          <w:lang w:val="en-US"/>
        </w:rPr>
        <w:t>strains GRC3</w:t>
      </w:r>
      <w:r w:rsidR="00B513B6" w:rsidRPr="002A6BF2">
        <w:rPr>
          <w:rFonts w:ascii="Arial" w:hAnsi="Arial" w:cs="Arial"/>
          <w:lang w:val="en-US"/>
        </w:rPr>
        <w:t>Δ</w:t>
      </w:r>
      <w:r w:rsidR="00B513B6" w:rsidRPr="002A6BF2">
        <w:rPr>
          <w:lang w:val="en-US"/>
        </w:rPr>
        <w:t>6MC</w:t>
      </w:r>
      <w:r w:rsidR="00B513B6" w:rsidRPr="002A6BF2">
        <w:rPr>
          <w:lang w:val="en-US"/>
        </w:rPr>
        <w:noBreakHyphen/>
        <w:t>II with and without</w:t>
      </w:r>
      <w:r w:rsidR="008707C4" w:rsidRPr="002A6BF2">
        <w:rPr>
          <w:lang w:val="en-US"/>
        </w:rPr>
        <w:t xml:space="preserve"> genomic</w:t>
      </w:r>
      <w:r w:rsidR="00B513B6" w:rsidRPr="002A6BF2">
        <w:rPr>
          <w:lang w:val="en-US"/>
        </w:rPr>
        <w:t xml:space="preserve"> </w:t>
      </w:r>
      <w:r w:rsidR="00B513B6" w:rsidRPr="002A6BF2">
        <w:rPr>
          <w:i/>
          <w:iCs/>
          <w:lang w:val="en-US"/>
        </w:rPr>
        <w:t>CgACC</w:t>
      </w:r>
      <w:r w:rsidR="008707C4" w:rsidRPr="002A6BF2">
        <w:rPr>
          <w:lang w:val="en-US"/>
        </w:rPr>
        <w:t xml:space="preserve"> expression</w:t>
      </w:r>
      <w:r w:rsidR="00B513B6" w:rsidRPr="002A6BF2">
        <w:rPr>
          <w:lang w:val="en-US"/>
        </w:rPr>
        <w:t>.</w:t>
      </w:r>
      <w:r w:rsidR="00B513B6" w:rsidRPr="002A6BF2">
        <w:rPr>
          <w:i/>
          <w:iCs/>
          <w:lang w:val="en-US"/>
        </w:rPr>
        <w:t xml:space="preserve"> </w:t>
      </w:r>
      <w:r w:rsidR="00B513B6" w:rsidRPr="002A6BF2">
        <w:rPr>
          <w:lang w:val="en-US"/>
        </w:rPr>
        <w:t>The resulting strain</w:t>
      </w:r>
      <w:r w:rsidR="00924473" w:rsidRPr="002A6BF2">
        <w:rPr>
          <w:lang w:val="en-US"/>
        </w:rPr>
        <w:t>s</w:t>
      </w:r>
      <w:r w:rsidR="00B513B6" w:rsidRPr="002A6BF2">
        <w:rPr>
          <w:lang w:val="en-US"/>
        </w:rPr>
        <w:t xml:space="preserve"> were tested </w:t>
      </w:r>
      <w:r w:rsidR="00B45415" w:rsidRPr="002A6BF2">
        <w:rPr>
          <w:lang w:val="en-US"/>
        </w:rPr>
        <w:t>using high initial biomass concentrations</w:t>
      </w:r>
      <w:r w:rsidR="00B513B6" w:rsidRPr="002A6BF2">
        <w:rPr>
          <w:lang w:val="en-US"/>
        </w:rPr>
        <w:t xml:space="preserve"> for</w:t>
      </w:r>
      <w:r w:rsidR="00B45415" w:rsidRPr="002A6BF2">
        <w:rPr>
          <w:lang w:val="en-US"/>
        </w:rPr>
        <w:t xml:space="preserve"> </w:t>
      </w:r>
      <w:r w:rsidR="00490B8C" w:rsidRPr="002A6BF2">
        <w:rPr>
          <w:lang w:val="en-US"/>
        </w:rPr>
        <w:t>a biotransformation</w:t>
      </w:r>
      <w:r w:rsidR="00F577C2" w:rsidRPr="002A6BF2">
        <w:rPr>
          <w:lang w:val="en-US"/>
        </w:rPr>
        <w:t xml:space="preserve"> with phenylalanine, cerulenin</w:t>
      </w:r>
      <w:r w:rsidR="009C5DB0" w:rsidRPr="002A6BF2">
        <w:rPr>
          <w:lang w:val="en-US"/>
        </w:rPr>
        <w:t>,</w:t>
      </w:r>
      <w:r w:rsidR="00430832" w:rsidRPr="002A6BF2">
        <w:rPr>
          <w:lang w:val="en-US"/>
        </w:rPr>
        <w:t xml:space="preserve"> or both as supplements</w:t>
      </w:r>
      <w:r w:rsidR="00B45415" w:rsidRPr="002A6BF2">
        <w:rPr>
          <w:lang w:val="en-US"/>
        </w:rPr>
        <w:t>.</w:t>
      </w:r>
      <w:r w:rsidR="00173D65" w:rsidRPr="002A6BF2">
        <w:rPr>
          <w:lang w:val="en-US"/>
        </w:rPr>
        <w:t xml:space="preserve"> </w:t>
      </w:r>
      <w:r w:rsidR="00B513B6" w:rsidRPr="002A6BF2">
        <w:rPr>
          <w:lang w:val="en-US"/>
        </w:rPr>
        <w:t xml:space="preserve">Under all of the tested conditions, overexpression of </w:t>
      </w:r>
      <w:r w:rsidR="00B513B6" w:rsidRPr="002A6BF2">
        <w:rPr>
          <w:i/>
          <w:iCs/>
          <w:lang w:val="en-US"/>
        </w:rPr>
        <w:t>CgACC</w:t>
      </w:r>
      <w:r w:rsidR="00B513B6" w:rsidRPr="002A6BF2">
        <w:rPr>
          <w:lang w:val="en-US"/>
        </w:rPr>
        <w:t xml:space="preserve"> significantly increased pi</w:t>
      </w:r>
      <w:r w:rsidR="00B513B6" w:rsidRPr="002A6BF2">
        <w:rPr>
          <w:lang w:val="en-US"/>
        </w:rPr>
        <w:lastRenderedPageBreak/>
        <w:t>nosylvin titers</w:t>
      </w:r>
      <w:r w:rsidR="00971E4D" w:rsidRPr="002A6BF2">
        <w:rPr>
          <w:lang w:val="en-US"/>
        </w:rPr>
        <w:t xml:space="preserve"> </w:t>
      </w:r>
      <w:r w:rsidR="009D3E0C" w:rsidRPr="002A6BF2">
        <w:rPr>
          <w:lang w:val="en-US"/>
        </w:rPr>
        <w:t>(</w:t>
      </w:r>
      <w:r w:rsidR="00325010" w:rsidRPr="002A6BF2">
        <w:rPr>
          <w:lang w:val="en-US"/>
        </w:rPr>
        <w:t>Fig.</w:t>
      </w:r>
      <w:r w:rsidR="009D3E0C" w:rsidRPr="002A6BF2">
        <w:rPr>
          <w:lang w:val="en-US"/>
        </w:rPr>
        <w:t xml:space="preserve"> </w:t>
      </w:r>
      <w:r w:rsidR="00924473" w:rsidRPr="002A6BF2">
        <w:rPr>
          <w:lang w:val="en-US"/>
        </w:rPr>
        <w:t>7</w:t>
      </w:r>
      <w:r w:rsidR="00B513B6" w:rsidRPr="002A6BF2">
        <w:rPr>
          <w:lang w:val="en-US"/>
        </w:rPr>
        <w:t xml:space="preserve">, </w:t>
      </w:r>
      <w:r w:rsidR="00301795" w:rsidRPr="002A6BF2">
        <w:rPr>
          <w:lang w:val="en-US"/>
        </w:rPr>
        <w:t>Supplement</w:t>
      </w:r>
      <w:r w:rsidR="00602358" w:rsidRPr="002A6BF2">
        <w:rPr>
          <w:lang w:val="en-US"/>
        </w:rPr>
        <w:t>ary</w:t>
      </w:r>
      <w:r w:rsidR="00301795" w:rsidRPr="002A6BF2">
        <w:rPr>
          <w:lang w:val="en-US"/>
        </w:rPr>
        <w:t xml:space="preserve"> </w:t>
      </w:r>
      <w:r w:rsidR="00325010" w:rsidRPr="002A6BF2">
        <w:rPr>
          <w:lang w:val="en-US"/>
        </w:rPr>
        <w:t>Fig.</w:t>
      </w:r>
      <w:r w:rsidR="007547FA" w:rsidRPr="002A6BF2">
        <w:rPr>
          <w:lang w:val="en-US"/>
        </w:rPr>
        <w:t xml:space="preserve"> </w:t>
      </w:r>
      <w:r w:rsidR="00E16CE2" w:rsidRPr="002A6BF2">
        <w:rPr>
          <w:lang w:val="en-US"/>
        </w:rPr>
        <w:t>S16</w:t>
      </w:r>
      <w:r w:rsidR="00301795" w:rsidRPr="002A6BF2">
        <w:rPr>
          <w:lang w:val="en-US"/>
        </w:rPr>
        <w:t>).</w:t>
      </w:r>
      <w:r w:rsidR="004F440F" w:rsidRPr="002A6BF2">
        <w:rPr>
          <w:lang w:val="en-US"/>
        </w:rPr>
        <w:t xml:space="preserve"> </w:t>
      </w:r>
      <w:r w:rsidR="00B513B6" w:rsidRPr="002A6BF2">
        <w:rPr>
          <w:lang w:val="en-US"/>
        </w:rPr>
        <w:t>The effect was most prominent</w:t>
      </w:r>
      <w:r w:rsidR="005633CE" w:rsidRPr="002A6BF2">
        <w:rPr>
          <w:lang w:val="en-US"/>
        </w:rPr>
        <w:t xml:space="preserve"> with phenylalanine supplementation without cerulenin, in which case the strain with </w:t>
      </w:r>
      <w:r w:rsidR="005633CE" w:rsidRPr="002A6BF2">
        <w:rPr>
          <w:i/>
          <w:lang w:val="en-US"/>
        </w:rPr>
        <w:t>CgACC</w:t>
      </w:r>
      <w:r w:rsidR="005633CE" w:rsidRPr="002A6BF2">
        <w:rPr>
          <w:iCs/>
          <w:lang w:val="en-US"/>
        </w:rPr>
        <w:t xml:space="preserve"> produced </w:t>
      </w:r>
      <w:r w:rsidR="00924473" w:rsidRPr="002A6BF2">
        <w:rPr>
          <w:iCs/>
          <w:lang w:val="en-US"/>
        </w:rPr>
        <w:t>3.5</w:t>
      </w:r>
      <w:r w:rsidR="005633CE" w:rsidRPr="002A6BF2">
        <w:rPr>
          <w:iCs/>
          <w:lang w:val="en-US"/>
        </w:rPr>
        <w:t>-fold more pinosylvin than the control. With</w:t>
      </w:r>
      <w:r w:rsidR="00C37430" w:rsidRPr="002A6BF2">
        <w:rPr>
          <w:lang w:val="en-US"/>
        </w:rPr>
        <w:t xml:space="preserve"> phenylalanine and cerulenin</w:t>
      </w:r>
      <w:r w:rsidR="00FA6673" w:rsidRPr="002A6BF2">
        <w:rPr>
          <w:lang w:val="en-US"/>
        </w:rPr>
        <w:t>,</w:t>
      </w:r>
      <w:r w:rsidR="00C37430" w:rsidRPr="002A6BF2">
        <w:rPr>
          <w:lang w:val="en-US"/>
        </w:rPr>
        <w:t xml:space="preserve"> a titer of 71 ± 1 mg L</w:t>
      </w:r>
      <w:r w:rsidR="00C37430" w:rsidRPr="002A6BF2">
        <w:rPr>
          <w:vertAlign w:val="superscript"/>
          <w:lang w:val="en-US"/>
        </w:rPr>
        <w:t>-1</w:t>
      </w:r>
      <w:r w:rsidR="00C37430" w:rsidRPr="002A6BF2">
        <w:rPr>
          <w:lang w:val="en-US"/>
        </w:rPr>
        <w:t xml:space="preserve"> </w:t>
      </w:r>
      <w:r w:rsidR="007F74F7" w:rsidRPr="002A6BF2">
        <w:rPr>
          <w:lang w:val="en-US"/>
        </w:rPr>
        <w:t xml:space="preserve">(0.35 mM) </w:t>
      </w:r>
      <w:r w:rsidR="004F440F" w:rsidRPr="002A6BF2">
        <w:rPr>
          <w:lang w:val="en-US"/>
        </w:rPr>
        <w:t>was</w:t>
      </w:r>
      <w:r w:rsidR="00C37430" w:rsidRPr="002A6BF2">
        <w:rPr>
          <w:lang w:val="en-US"/>
        </w:rPr>
        <w:t xml:space="preserve"> reached </w:t>
      </w:r>
      <w:r w:rsidR="005633CE" w:rsidRPr="002A6BF2">
        <w:rPr>
          <w:lang w:val="en-US"/>
        </w:rPr>
        <w:t>by GRC3</w:t>
      </w:r>
      <w:r w:rsidR="005633CE" w:rsidRPr="002A6BF2">
        <w:rPr>
          <w:rFonts w:ascii="Arial" w:hAnsi="Arial" w:cs="Arial"/>
          <w:lang w:val="en-US"/>
        </w:rPr>
        <w:t>Δ</w:t>
      </w:r>
      <w:r w:rsidR="005633CE" w:rsidRPr="002A6BF2">
        <w:rPr>
          <w:lang w:val="en-US"/>
        </w:rPr>
        <w:t>6MC</w:t>
      </w:r>
      <w:r w:rsidR="005633CE" w:rsidRPr="002A6BF2">
        <w:rPr>
          <w:lang w:val="en-US"/>
        </w:rPr>
        <w:noBreakHyphen/>
        <w:t>II</w:t>
      </w:r>
      <w:r w:rsidR="00DD50EE" w:rsidRPr="002A6BF2">
        <w:rPr>
          <w:lang w:val="en-US"/>
        </w:rPr>
        <w:t xml:space="preserve"> </w:t>
      </w:r>
      <w:r w:rsidR="00DD50EE" w:rsidRPr="002A6BF2">
        <w:rPr>
          <w:i/>
          <w:lang w:val="en-US"/>
        </w:rPr>
        <w:t>CgACC</w:t>
      </w:r>
      <w:r w:rsidR="00C37430" w:rsidRPr="002A6BF2">
        <w:rPr>
          <w:lang w:val="en-US"/>
        </w:rPr>
        <w:t>.</w:t>
      </w:r>
      <w:r w:rsidR="006D7C7A" w:rsidRPr="002A6BF2">
        <w:rPr>
          <w:lang w:val="en-US"/>
        </w:rPr>
        <w:t xml:space="preserve"> </w:t>
      </w:r>
      <w:r w:rsidR="00FA6673" w:rsidRPr="002A6BF2">
        <w:rPr>
          <w:lang w:val="en-US"/>
        </w:rPr>
        <w:t>Hence</w:t>
      </w:r>
      <w:r w:rsidR="00B87A23" w:rsidRPr="002A6BF2">
        <w:rPr>
          <w:lang w:val="en-US"/>
        </w:rPr>
        <w:t>, GRC3</w:t>
      </w:r>
      <w:r w:rsidR="00B87A23" w:rsidRPr="002A6BF2">
        <w:rPr>
          <w:rFonts w:ascii="Arial" w:hAnsi="Arial" w:cs="Arial"/>
          <w:lang w:val="en-US"/>
        </w:rPr>
        <w:t>Δ</w:t>
      </w:r>
      <w:r w:rsidR="00B87A23" w:rsidRPr="002A6BF2">
        <w:rPr>
          <w:lang w:val="en-US"/>
        </w:rPr>
        <w:t>6MC</w:t>
      </w:r>
      <w:r w:rsidR="00B87A23" w:rsidRPr="002A6BF2">
        <w:rPr>
          <w:lang w:val="en-US"/>
        </w:rPr>
        <w:noBreakHyphen/>
        <w:t xml:space="preserve">II </w:t>
      </w:r>
      <w:r w:rsidR="00301795" w:rsidRPr="002A6BF2">
        <w:rPr>
          <w:i/>
          <w:lang w:val="en-US"/>
        </w:rPr>
        <w:t>Cg</w:t>
      </w:r>
      <w:r w:rsidR="00B87A23" w:rsidRPr="002A6BF2">
        <w:rPr>
          <w:i/>
          <w:lang w:val="en-US"/>
        </w:rPr>
        <w:t>ACC</w:t>
      </w:r>
      <w:r w:rsidR="00B87A23" w:rsidRPr="002A6BF2">
        <w:rPr>
          <w:lang w:val="en-US"/>
        </w:rPr>
        <w:t xml:space="preserve"> </w:t>
      </w:r>
      <w:r w:rsidR="002E495B" w:rsidRPr="002A6BF2">
        <w:rPr>
          <w:lang w:val="en-US"/>
        </w:rPr>
        <w:t xml:space="preserve">without any production module </w:t>
      </w:r>
      <w:r w:rsidR="004F440F" w:rsidRPr="002A6BF2">
        <w:rPr>
          <w:lang w:val="en-US"/>
        </w:rPr>
        <w:t>was</w:t>
      </w:r>
      <w:r w:rsidR="00B87A23" w:rsidRPr="002A6BF2">
        <w:rPr>
          <w:lang w:val="en-US"/>
        </w:rPr>
        <w:t xml:space="preserve"> </w:t>
      </w:r>
      <w:r w:rsidR="00515F79" w:rsidRPr="002A6BF2">
        <w:rPr>
          <w:lang w:val="en-US"/>
        </w:rPr>
        <w:t>named</w:t>
      </w:r>
      <w:r w:rsidR="00B87A23" w:rsidRPr="002A6BF2">
        <w:rPr>
          <w:lang w:val="en-US"/>
        </w:rPr>
        <w:t xml:space="preserve"> GRC3</w:t>
      </w:r>
      <w:r w:rsidR="00B87A23" w:rsidRPr="002A6BF2">
        <w:rPr>
          <w:rFonts w:ascii="Arial" w:hAnsi="Arial" w:cs="Arial"/>
          <w:lang w:val="en-US"/>
        </w:rPr>
        <w:t>Δ</w:t>
      </w:r>
      <w:r w:rsidR="00B87A23" w:rsidRPr="002A6BF2">
        <w:rPr>
          <w:lang w:val="en-US"/>
        </w:rPr>
        <w:t>6MC</w:t>
      </w:r>
      <w:r w:rsidR="00B87A23" w:rsidRPr="002A6BF2">
        <w:rPr>
          <w:lang w:val="en-US"/>
        </w:rPr>
        <w:noBreakHyphen/>
        <w:t>III in following</w:t>
      </w:r>
      <w:r w:rsidR="004F440F" w:rsidRPr="002A6BF2">
        <w:rPr>
          <w:lang w:val="en-US"/>
        </w:rPr>
        <w:t xml:space="preserve"> experiments</w:t>
      </w:r>
      <w:r w:rsidR="00C37430" w:rsidRPr="002A6BF2">
        <w:rPr>
          <w:lang w:val="en-US"/>
        </w:rPr>
        <w:t xml:space="preserve"> due to its </w:t>
      </w:r>
      <w:r w:rsidR="004F440F" w:rsidRPr="002A6BF2">
        <w:rPr>
          <w:lang w:val="en-US"/>
        </w:rPr>
        <w:t xml:space="preserve">superior </w:t>
      </w:r>
      <w:r w:rsidR="00C37430" w:rsidRPr="002A6BF2">
        <w:rPr>
          <w:lang w:val="en-US"/>
        </w:rPr>
        <w:t xml:space="preserve">performance </w:t>
      </w:r>
      <w:r w:rsidR="00EE706E" w:rsidRPr="002A6BF2">
        <w:rPr>
          <w:lang w:val="en-US"/>
        </w:rPr>
        <w:t>compared to</w:t>
      </w:r>
      <w:r w:rsidR="00C37430" w:rsidRPr="002A6BF2">
        <w:rPr>
          <w:lang w:val="en-US"/>
        </w:rPr>
        <w:t xml:space="preserve"> GRC3</w:t>
      </w:r>
      <w:r w:rsidR="00C37430" w:rsidRPr="002A6BF2">
        <w:rPr>
          <w:rFonts w:ascii="Arial" w:hAnsi="Arial" w:cs="Arial"/>
          <w:lang w:val="en-US"/>
        </w:rPr>
        <w:t>Δ</w:t>
      </w:r>
      <w:r w:rsidR="00C37430" w:rsidRPr="002A6BF2">
        <w:rPr>
          <w:lang w:val="en-US"/>
        </w:rPr>
        <w:t>6MC</w:t>
      </w:r>
      <w:r w:rsidR="00C37430" w:rsidRPr="002A6BF2">
        <w:rPr>
          <w:lang w:val="en-US"/>
        </w:rPr>
        <w:noBreakHyphen/>
        <w:t>II</w:t>
      </w:r>
      <w:r w:rsidR="00FA6673" w:rsidRPr="002A6BF2">
        <w:rPr>
          <w:lang w:val="en-US"/>
        </w:rPr>
        <w:t xml:space="preserve"> in </w:t>
      </w:r>
      <w:r w:rsidR="009D3E0C" w:rsidRPr="002A6BF2">
        <w:rPr>
          <w:lang w:val="en-US"/>
        </w:rPr>
        <w:t xml:space="preserve">all </w:t>
      </w:r>
      <w:r w:rsidR="00FA6673" w:rsidRPr="002A6BF2">
        <w:rPr>
          <w:lang w:val="en-US"/>
        </w:rPr>
        <w:t>plant polyketide synthesis</w:t>
      </w:r>
      <w:r w:rsidR="009D3E0C" w:rsidRPr="002A6BF2">
        <w:rPr>
          <w:lang w:val="en-US"/>
        </w:rPr>
        <w:t xml:space="preserve"> approaches with supplements</w:t>
      </w:r>
      <w:r w:rsidR="00B87A23" w:rsidRPr="002A6BF2">
        <w:rPr>
          <w:lang w:val="en-US"/>
        </w:rPr>
        <w:t xml:space="preserve">. </w:t>
      </w:r>
      <w:r w:rsidR="009C5DB0" w:rsidRPr="002A6BF2">
        <w:rPr>
          <w:lang w:val="en-US"/>
        </w:rPr>
        <w:t xml:space="preserve">Interestingly, the newly obtained </w:t>
      </w:r>
      <w:r w:rsidR="000766E0" w:rsidRPr="002A6BF2">
        <w:rPr>
          <w:lang w:val="en-US"/>
        </w:rPr>
        <w:t>GRC3</w:t>
      </w:r>
      <w:r w:rsidR="000766E0" w:rsidRPr="002A6BF2">
        <w:rPr>
          <w:rFonts w:ascii="Arial" w:hAnsi="Arial" w:cs="Arial"/>
          <w:lang w:val="en-US"/>
        </w:rPr>
        <w:t>Δ</w:t>
      </w:r>
      <w:r w:rsidR="000766E0" w:rsidRPr="002A6BF2">
        <w:rPr>
          <w:lang w:val="en-US"/>
        </w:rPr>
        <w:t>6MC</w:t>
      </w:r>
      <w:r w:rsidR="000766E0" w:rsidRPr="002A6BF2">
        <w:rPr>
          <w:lang w:val="en-US"/>
        </w:rPr>
        <w:noBreakHyphen/>
        <w:t>III</w:t>
      </w:r>
      <w:r w:rsidR="000766E0">
        <w:rPr>
          <w:lang w:val="en-US"/>
        </w:rPr>
        <w:t>-based</w:t>
      </w:r>
      <w:r w:rsidR="000766E0" w:rsidRPr="002A6BF2">
        <w:rPr>
          <w:lang w:val="en-US"/>
        </w:rPr>
        <w:t xml:space="preserve"> </w:t>
      </w:r>
      <w:r w:rsidR="009C5DB0" w:rsidRPr="002A6BF2">
        <w:rPr>
          <w:lang w:val="en-US"/>
        </w:rPr>
        <w:t xml:space="preserve">strains with </w:t>
      </w:r>
      <w:r w:rsidR="009C5DB0" w:rsidRPr="002A6BF2">
        <w:rPr>
          <w:rFonts w:cstheme="minorHAnsi"/>
          <w:lang w:val="en-US"/>
        </w:rPr>
        <w:t>Δ</w:t>
      </w:r>
      <w:r w:rsidR="009C5DB0" w:rsidRPr="002A6BF2">
        <w:rPr>
          <w:i/>
          <w:lang w:val="en-US"/>
        </w:rPr>
        <w:t>fabF</w:t>
      </w:r>
      <w:r w:rsidR="009C5DB0" w:rsidRPr="002A6BF2">
        <w:rPr>
          <w:lang w:val="en-US"/>
        </w:rPr>
        <w:t xml:space="preserve"> and additional ACC acidify batch culture medium if not buffered sufficiently (Supplementary </w:t>
      </w:r>
      <w:r w:rsidR="00325010" w:rsidRPr="002A6BF2">
        <w:rPr>
          <w:lang w:val="en-US"/>
        </w:rPr>
        <w:t>Fig.</w:t>
      </w:r>
      <w:r w:rsidR="003A6F0C" w:rsidRPr="002A6BF2">
        <w:rPr>
          <w:lang w:val="en-US"/>
        </w:rPr>
        <w:t xml:space="preserve"> </w:t>
      </w:r>
      <w:r w:rsidR="00E16CE2" w:rsidRPr="002A6BF2">
        <w:rPr>
          <w:lang w:val="en-US"/>
        </w:rPr>
        <w:t>S12</w:t>
      </w:r>
      <w:r w:rsidR="009C5DB0" w:rsidRPr="002A6BF2">
        <w:rPr>
          <w:lang w:val="en-US"/>
        </w:rPr>
        <w:t>).</w:t>
      </w:r>
      <w:r w:rsidR="003C17A2" w:rsidRPr="002A6BF2">
        <w:rPr>
          <w:lang w:val="en-US"/>
        </w:rPr>
        <w:t xml:space="preserve"> </w:t>
      </w:r>
      <w:r w:rsidR="00FA3FEF" w:rsidRPr="002A6BF2">
        <w:rPr>
          <w:lang w:val="en-US"/>
        </w:rPr>
        <w:t xml:space="preserve">Under </w:t>
      </w:r>
      <w:r w:rsidR="003C17A2" w:rsidRPr="002A6BF2">
        <w:rPr>
          <w:lang w:val="en-US"/>
        </w:rPr>
        <w:t>cerulenin</w:t>
      </w:r>
      <w:r w:rsidR="00FA3FEF" w:rsidRPr="002A6BF2">
        <w:rPr>
          <w:lang w:val="en-US"/>
        </w:rPr>
        <w:t xml:space="preserve"> inhibition, </w:t>
      </w:r>
      <w:r w:rsidR="003C17A2" w:rsidRPr="002A6BF2">
        <w:rPr>
          <w:lang w:val="en-US"/>
        </w:rPr>
        <w:t>biotransformation</w:t>
      </w:r>
      <w:r w:rsidR="009D2179" w:rsidRPr="002A6BF2">
        <w:rPr>
          <w:lang w:val="en-US"/>
        </w:rPr>
        <w:t>s</w:t>
      </w:r>
      <w:r w:rsidR="003C17A2" w:rsidRPr="002A6BF2">
        <w:rPr>
          <w:lang w:val="en-US"/>
        </w:rPr>
        <w:t xml:space="preserve"> of the GRC3 PHE strain (Fig. 3) </w:t>
      </w:r>
      <w:r w:rsidR="00FA3FEF" w:rsidRPr="002A6BF2">
        <w:rPr>
          <w:lang w:val="en-US"/>
        </w:rPr>
        <w:t xml:space="preserve">produce </w:t>
      </w:r>
      <w:r w:rsidR="00597026" w:rsidRPr="002A6BF2">
        <w:rPr>
          <w:lang w:val="en-US"/>
        </w:rPr>
        <w:t>only slightly less</w:t>
      </w:r>
      <w:r w:rsidR="00FA3FEF" w:rsidRPr="002A6BF2">
        <w:rPr>
          <w:lang w:val="en-US"/>
        </w:rPr>
        <w:t xml:space="preserve"> pinosylvin titers compared to </w:t>
      </w:r>
      <w:r w:rsidR="003C17A2" w:rsidRPr="002A6BF2">
        <w:rPr>
          <w:lang w:val="en-US"/>
        </w:rPr>
        <w:t>GRC3</w:t>
      </w:r>
      <w:r w:rsidR="009D2179" w:rsidRPr="002A6BF2">
        <w:rPr>
          <w:rFonts w:cstheme="minorHAnsi"/>
          <w:lang w:val="en-US"/>
        </w:rPr>
        <w:t>Δ</w:t>
      </w:r>
      <w:r w:rsidR="003C17A2" w:rsidRPr="002A6BF2">
        <w:rPr>
          <w:lang w:val="en-US"/>
        </w:rPr>
        <w:t xml:space="preserve">6MC-III with </w:t>
      </w:r>
      <w:r w:rsidR="000B5D04" w:rsidRPr="002A6BF2">
        <w:rPr>
          <w:lang w:val="en-US"/>
        </w:rPr>
        <w:t>cerulenin</w:t>
      </w:r>
      <w:r w:rsidR="00BC3B34" w:rsidRPr="002A6BF2">
        <w:rPr>
          <w:lang w:val="en-US"/>
        </w:rPr>
        <w:t xml:space="preserve"> </w:t>
      </w:r>
      <w:r w:rsidR="009D2179" w:rsidRPr="002A6BF2">
        <w:rPr>
          <w:lang w:val="en-US"/>
        </w:rPr>
        <w:t>(Fig. 7)</w:t>
      </w:r>
      <w:r w:rsidR="00597026" w:rsidRPr="002A6BF2">
        <w:rPr>
          <w:lang w:val="en-US"/>
        </w:rPr>
        <w:t xml:space="preserve">, </w:t>
      </w:r>
      <w:r w:rsidR="009D2179" w:rsidRPr="002A6BF2">
        <w:rPr>
          <w:lang w:val="en-US"/>
        </w:rPr>
        <w:t>although conditions vary</w:t>
      </w:r>
      <w:r w:rsidR="00597026" w:rsidRPr="002A6BF2">
        <w:rPr>
          <w:lang w:val="en-US"/>
        </w:rPr>
        <w:t xml:space="preserve"> somewhat making a direct comparison difficult</w:t>
      </w:r>
      <w:r w:rsidR="009D2179" w:rsidRPr="002A6BF2">
        <w:rPr>
          <w:lang w:val="en-US"/>
        </w:rPr>
        <w:t>.</w:t>
      </w:r>
      <w:r w:rsidR="00597026" w:rsidRPr="002A6BF2">
        <w:rPr>
          <w:lang w:val="en-US"/>
        </w:rPr>
        <w:t xml:space="preserve"> In contrast, the impact of the malonyl-CoA modifications becomes apparent in the absence of cerulenin, where MC-III produces </w:t>
      </w:r>
      <w:r w:rsidR="00B312CA" w:rsidRPr="002A6BF2">
        <w:rPr>
          <w:lang w:val="en-US"/>
        </w:rPr>
        <w:t>3</w:t>
      </w:r>
      <w:r w:rsidR="00597026" w:rsidRPr="002A6BF2">
        <w:rPr>
          <w:lang w:val="en-US"/>
        </w:rPr>
        <w:t>-fold more than the PHE chassis in the absence of phenylalanine suppl</w:t>
      </w:r>
      <w:r w:rsidR="003F7130" w:rsidRPr="002A6BF2">
        <w:rPr>
          <w:lang w:val="en-US"/>
        </w:rPr>
        <w:t>e</w:t>
      </w:r>
      <w:r w:rsidR="00597026" w:rsidRPr="002A6BF2">
        <w:rPr>
          <w:lang w:val="en-US"/>
        </w:rPr>
        <w:t xml:space="preserve">mentation, and </w:t>
      </w:r>
      <w:r w:rsidR="00B312CA" w:rsidRPr="002A6BF2">
        <w:rPr>
          <w:lang w:val="en-US"/>
        </w:rPr>
        <w:t>nearly 8</w:t>
      </w:r>
      <w:r w:rsidR="00597026" w:rsidRPr="002A6BF2">
        <w:rPr>
          <w:lang w:val="en-US"/>
        </w:rPr>
        <w:t xml:space="preserve">-fold more when phenylalanine was supplemented to MC-III (comp. Fig 4 &amp; 7). </w:t>
      </w:r>
    </w:p>
    <w:p w14:paraId="667C76D7" w14:textId="7A13C10E" w:rsidR="00C85283" w:rsidRPr="002A6BF2" w:rsidRDefault="00E5382E" w:rsidP="00B84A00">
      <w:pPr>
        <w:spacing w:line="276" w:lineRule="auto"/>
        <w:jc w:val="both"/>
        <w:rPr>
          <w:lang w:val="en-US"/>
        </w:rPr>
      </w:pPr>
      <w:r w:rsidRPr="002A6BF2">
        <w:rPr>
          <w:lang w:val="en-US"/>
        </w:rPr>
        <w:t>Titers from supplemented phenylalanine were about 33.3 mg L</w:t>
      </w:r>
      <w:r w:rsidRPr="002A6BF2">
        <w:rPr>
          <w:vertAlign w:val="superscript"/>
          <w:lang w:val="en-US"/>
        </w:rPr>
        <w:t>-1</w:t>
      </w:r>
      <w:r w:rsidRPr="002A6BF2">
        <w:rPr>
          <w:lang w:val="en-US"/>
        </w:rPr>
        <w:t xml:space="preserve"> </w:t>
      </w:r>
      <w:r w:rsidR="007F74F7" w:rsidRPr="002A6BF2">
        <w:rPr>
          <w:lang w:val="en-US"/>
        </w:rPr>
        <w:t xml:space="preserve">(0.16 mM) </w:t>
      </w:r>
      <w:r w:rsidR="00800C75" w:rsidRPr="002A6BF2">
        <w:rPr>
          <w:lang w:val="en-US"/>
        </w:rPr>
        <w:t>for the new GRC3</w:t>
      </w:r>
      <w:r w:rsidR="00800C75" w:rsidRPr="002A6BF2">
        <w:rPr>
          <w:rFonts w:cstheme="minorHAnsi"/>
          <w:lang w:val="en-US"/>
        </w:rPr>
        <w:t>Δ</w:t>
      </w:r>
      <w:r w:rsidR="00800C75" w:rsidRPr="002A6BF2">
        <w:rPr>
          <w:lang w:val="en-US"/>
        </w:rPr>
        <w:t xml:space="preserve">6MC-III </w:t>
      </w:r>
      <w:r w:rsidRPr="002A6BF2">
        <w:rPr>
          <w:lang w:val="en-US"/>
        </w:rPr>
        <w:t xml:space="preserve">from only 30 mM </w:t>
      </w:r>
      <w:r w:rsidR="00746102" w:rsidRPr="002A6BF2">
        <w:rPr>
          <w:lang w:val="en-US"/>
        </w:rPr>
        <w:t>(5.4 g L</w:t>
      </w:r>
      <w:r w:rsidR="00746102" w:rsidRPr="002A6BF2">
        <w:rPr>
          <w:vertAlign w:val="superscript"/>
          <w:lang w:val="en-US"/>
        </w:rPr>
        <w:t>-1</w:t>
      </w:r>
      <w:r w:rsidR="00746102" w:rsidRPr="002A6BF2">
        <w:rPr>
          <w:lang w:val="en-US"/>
        </w:rPr>
        <w:t xml:space="preserve">) </w:t>
      </w:r>
      <w:r w:rsidRPr="002A6BF2">
        <w:rPr>
          <w:lang w:val="en-US"/>
        </w:rPr>
        <w:t xml:space="preserve">glucose as source for </w:t>
      </w:r>
      <w:r w:rsidR="00746102" w:rsidRPr="002A6BF2">
        <w:rPr>
          <w:lang w:val="en-US"/>
        </w:rPr>
        <w:t xml:space="preserve">biomass and thus for </w:t>
      </w:r>
      <w:r w:rsidRPr="002A6BF2">
        <w:rPr>
          <w:lang w:val="en-US"/>
        </w:rPr>
        <w:t xml:space="preserve">malonyl-CoA. In other studies with a pinosylvin forming </w:t>
      </w:r>
      <w:r w:rsidRPr="002A6BF2">
        <w:rPr>
          <w:i/>
          <w:iCs/>
          <w:lang w:val="en-US"/>
        </w:rPr>
        <w:t>E. coli</w:t>
      </w:r>
      <w:r w:rsidRPr="002A6BF2">
        <w:rPr>
          <w:lang w:val="en-US"/>
        </w:rPr>
        <w:t xml:space="preserve"> titers of 53 mg L</w:t>
      </w:r>
      <w:r w:rsidRPr="002A6BF2">
        <w:rPr>
          <w:vertAlign w:val="superscript"/>
          <w:lang w:val="en-US"/>
        </w:rPr>
        <w:t>-1</w:t>
      </w:r>
      <w:r w:rsidRPr="002A6BF2">
        <w:rPr>
          <w:lang w:val="en-US"/>
        </w:rPr>
        <w:t xml:space="preserve"> </w:t>
      </w:r>
      <w:r w:rsidR="00030E04" w:rsidRPr="002A6BF2">
        <w:rPr>
          <w:lang w:val="en-US"/>
        </w:rPr>
        <w:t xml:space="preserve">(0.25 mM) </w:t>
      </w:r>
      <w:r w:rsidRPr="002A6BF2">
        <w:rPr>
          <w:lang w:val="en-US"/>
        </w:rPr>
        <w:t>were reached from LB medium with additional 10 g L</w:t>
      </w:r>
      <w:r w:rsidRPr="002A6BF2">
        <w:rPr>
          <w:vertAlign w:val="superscript"/>
          <w:lang w:val="en-US"/>
        </w:rPr>
        <w:t>-1</w:t>
      </w:r>
      <w:r w:rsidRPr="002A6BF2">
        <w:rPr>
          <w:lang w:val="en-US"/>
        </w:rPr>
        <w:t xml:space="preserve"> glycerol and supplemented cinnamate </w:t>
      </w:r>
      <w:r w:rsidRPr="002A6BF2">
        <w:rPr>
          <w:lang w:val="en-US"/>
        </w:rPr>
        <w:fldChar w:fldCharType="begin" w:fldLock="1"/>
      </w:r>
      <w:r w:rsidR="00B3142B" w:rsidRPr="002A6BF2">
        <w:rPr>
          <w:lang w:val="en-US"/>
        </w:rPr>
        <w:instrText>ADDIN CSL_CITATION {"citationItems":[{"id":"ITEM-1","itemData":{"DOI":"10.1016/j.ejbt.2018.03.001","ISSN":"07173458","abstract":"Background: The plant secondary metabolite pinosylvin is a polyphenol from the stilbene family, which have positive effects on human health. Biotechnological production is an attractive alternative for obtaining this stilbene. In Escherichia coli, malonyl-CoA is the precursor for both stilbene and fatty acid syntheses. In this study, with the aim of increasing pinosylvin production, we evaluated a novel approach that is based on reducing the expression of the gene fabI, which encodes the enzyme enoyl-acyl carrier protein reductase that is involved in fatty acid synthesis. Results: A recombineering method was employed to eliminate the chromosomal -35 promoter sequence and the upstream region of the gene fabI in E. coli strain W3110. Analysis, employing RT-qPCR, showed that such modification caused a 60% reduction in the fabI transcript level in the mutant strain W3110Δ-35fabI::Cm compared to the wild type W3110. Synthetic genes encoding a mutant version of 4-coumaroyl-CoA ligase from Streptomyces coelicolor A3 with improved catalytic activity employing cinnamic acid as substrate and a stilbene synthase from Vitis vinifera were cloned to generate the plasmid pTrc-Sc4CL(M)-VvSTS. The production performance of strains W3110Δ-35fabI::Cm/pTrc-Sc4CL(M)-VvSTS and W3110/pTrc-Sc4CL(M)-VvSTS was determined in shake flask cultures with Luria-Bertani medium supplemented with 10 g/L glycerol and 3 mM cinnamic acid. Under these conditions, the strain W3110Δ-35fabI::Cm/pTrc-Sc4CL(M)-VvSTS produced 52.67 mg/L pinosylvin, a level 1.5-fold higher than that observed with W3110/pTrc-Sc4CL(M)-VvSTS. Conclusion: A reduction in the transcript level of fabI caused by the elimination of the -35 and upstream promoter sequences is a successful strategy to improve pinosylvin production in E. coli. Salas-Navarrete, C., Hernández-Chávez, G., Flores, N., et al., 2018. Increasing pinosylvin production in Escherichia coli by reducing expression level of gene fabI encoding enoyl-acyl carrier protein reductase. Electron. J. Biotechnol. https://doi.org/10.1016/j.ejbt.2018.03.001.","author":[{"dropping-particle":"","family":"Salas-Navarrete","given":"Caheri","non-dropping-particle":"","parse-names":false,"suffix":""},{"dropping-particle":"","family":"Hernández-Chávez","given":"Georgina","non-dropping-particle":"","parse-names":false,"suffix":""},{"dropping-particle":"","family":"Flores","given":"Noemí","non-dropping-particle":"","parse-names":false,"suffix":""},{"dropping-particle":"","family":"Martínez","given":"Luz María","non-dropping-particle":"","parse-names":false,"suffix":""},{"dropping-particle":"","family":"Martinez","given":"Alfredo","non-dropping-particle":"","parse-names":false,"suffix":""},{"dropping-particle":"","family":"Bolívar","given":"Francisco","non-dropping-particle":"","parse-names":false,"suffix":""},{"dropping-particle":"","family":"Barona-Gomez","given":"Francisco","non-dropping-particle":"","parse-names":false,"suffix":""},{"dropping-particle":"","family":"Gosset","given":"Guillermo","non-dropping-particle":"","parse-names":false,"suffix":""}],"container-title":"Electronic Journal of Biotechnology","id":"ITEM-1","issued":{"date-parts":[["2018"]]},"page":"11-16","publisher":"Elsevier España, S.L.U.","title":"Increasing pinosylvin production in &lt;i&gt;Escherichia coli&lt;/i&gt; by reducing the expression level of the gene &lt;i&gt;fabI&lt;/i&gt;-encoded enoyl-acyl carrier protein reductase","type":"article-journal","volume":"33"},"uris":["http://www.mendeley.com/documents/?uuid=d96f1d47-eedb-434a-8464-396ffd8c9860"]}],"mendeley":{"formattedCitation":"(Salas-Navarrete et al., 2018)","plainTextFormattedCitation":"(Salas-Navarrete et al., 2018)","previouslyFormattedCitation":"(Salas-Navarrete et al., 2018)"},"properties":{"noteIndex":0},"schema":"https://github.com/citation-style-language/schema/raw/master/csl-citation.json"}</w:instrText>
      </w:r>
      <w:r w:rsidRPr="002A6BF2">
        <w:rPr>
          <w:lang w:val="en-US"/>
        </w:rPr>
        <w:fldChar w:fldCharType="separate"/>
      </w:r>
      <w:r w:rsidRPr="002A6BF2">
        <w:rPr>
          <w:noProof/>
          <w:lang w:val="en-US"/>
        </w:rPr>
        <w:t>(Salas-Navarrete et al., 2018)</w:t>
      </w:r>
      <w:r w:rsidRPr="002A6BF2">
        <w:rPr>
          <w:lang w:val="en-US"/>
        </w:rPr>
        <w:fldChar w:fldCharType="end"/>
      </w:r>
      <w:r w:rsidRPr="002A6BF2">
        <w:rPr>
          <w:lang w:val="en-US"/>
        </w:rPr>
        <w:t xml:space="preserve">. </w:t>
      </w:r>
      <w:r w:rsidR="00AA75F3" w:rsidRPr="002A6BF2">
        <w:rPr>
          <w:lang w:val="en-US"/>
        </w:rPr>
        <w:t xml:space="preserve">Pinosylvin titers of </w:t>
      </w:r>
      <w:r w:rsidR="00AA75F3" w:rsidRPr="002A6BF2">
        <w:rPr>
          <w:i/>
          <w:iCs/>
          <w:lang w:val="en-US"/>
        </w:rPr>
        <w:t>C</w:t>
      </w:r>
      <w:r w:rsidR="003D02C4">
        <w:rPr>
          <w:i/>
          <w:iCs/>
          <w:lang w:val="en-US"/>
        </w:rPr>
        <w:t>.</w:t>
      </w:r>
      <w:r w:rsidR="00AA75F3" w:rsidRPr="002A6BF2">
        <w:rPr>
          <w:i/>
          <w:iCs/>
          <w:lang w:val="en-US"/>
        </w:rPr>
        <w:t xml:space="preserve"> glutamicum</w:t>
      </w:r>
      <w:r w:rsidR="00AA75F3" w:rsidRPr="002A6BF2">
        <w:rPr>
          <w:lang w:val="en-US"/>
        </w:rPr>
        <w:t xml:space="preserve"> DelAro</w:t>
      </w:r>
      <w:r w:rsidR="00AA75F3" w:rsidRPr="002A6BF2">
        <w:rPr>
          <w:vertAlign w:val="superscript"/>
          <w:lang w:val="en-US"/>
        </w:rPr>
        <w:t>3</w:t>
      </w:r>
      <w:r w:rsidR="00AA75F3" w:rsidRPr="002A6BF2">
        <w:rPr>
          <w:lang w:val="en-US"/>
        </w:rPr>
        <w:t xml:space="preserve"> </w:t>
      </w:r>
      <w:r w:rsidR="00746102" w:rsidRPr="002A6BF2">
        <w:rPr>
          <w:lang w:val="en-US"/>
        </w:rPr>
        <w:t>from supplemented cinnamate, 40 g L</w:t>
      </w:r>
      <w:r w:rsidR="00746102" w:rsidRPr="002A6BF2">
        <w:rPr>
          <w:vertAlign w:val="superscript"/>
          <w:lang w:val="en-US"/>
        </w:rPr>
        <w:t>-1</w:t>
      </w:r>
      <w:r w:rsidR="00746102" w:rsidRPr="002A6BF2">
        <w:rPr>
          <w:lang w:val="en-US"/>
        </w:rPr>
        <w:t xml:space="preserve"> glucose and 25 µM cerulenin were 121 </w:t>
      </w:r>
      <w:r w:rsidR="00746102" w:rsidRPr="002A6BF2">
        <w:rPr>
          <w:rFonts w:cstheme="minorHAnsi"/>
          <w:lang w:val="en-US"/>
        </w:rPr>
        <w:t>±</w:t>
      </w:r>
      <w:r w:rsidR="00746102" w:rsidRPr="002A6BF2">
        <w:rPr>
          <w:lang w:val="en-US"/>
        </w:rPr>
        <w:t xml:space="preserve"> 2 mg L</w:t>
      </w:r>
      <w:r w:rsidR="00746102" w:rsidRPr="002A6BF2">
        <w:rPr>
          <w:vertAlign w:val="superscript"/>
          <w:lang w:val="en-US"/>
        </w:rPr>
        <w:t>-1</w:t>
      </w:r>
      <w:r w:rsidR="00030E04" w:rsidRPr="002A6BF2">
        <w:rPr>
          <w:lang w:val="en-US"/>
        </w:rPr>
        <w:t xml:space="preserve"> (0.57 mM)</w:t>
      </w:r>
      <w:r w:rsidR="00746102" w:rsidRPr="002A6BF2">
        <w:rPr>
          <w:lang w:val="en-US"/>
        </w:rPr>
        <w:t xml:space="preserve"> </w:t>
      </w:r>
      <w:r w:rsidR="00746102" w:rsidRPr="002A6BF2">
        <w:rPr>
          <w:lang w:val="en-US"/>
        </w:rPr>
        <w:lastRenderedPageBreak/>
        <w:t>and thus about twice the titer obtained by GRC3</w:t>
      </w:r>
      <w:r w:rsidR="00746102" w:rsidRPr="002A6BF2">
        <w:rPr>
          <w:rFonts w:cstheme="minorHAnsi"/>
          <w:lang w:val="en-US"/>
        </w:rPr>
        <w:t>Δ</w:t>
      </w:r>
      <w:r w:rsidR="00746102" w:rsidRPr="002A6BF2">
        <w:rPr>
          <w:lang w:val="en-US"/>
        </w:rPr>
        <w:t>6MC-III in biotransformation with all supplements while DelAro</w:t>
      </w:r>
      <w:r w:rsidR="00746102" w:rsidRPr="002A6BF2">
        <w:rPr>
          <w:vertAlign w:val="superscript"/>
          <w:lang w:val="en-US"/>
        </w:rPr>
        <w:t>3</w:t>
      </w:r>
      <w:r w:rsidR="00746102" w:rsidRPr="002A6BF2">
        <w:rPr>
          <w:lang w:val="en-US"/>
        </w:rPr>
        <w:t xml:space="preserve"> used approximately 7-fold glucose concentration </w:t>
      </w:r>
      <w:r w:rsidR="00746102" w:rsidRPr="002A6BF2">
        <w:rPr>
          <w:lang w:val="en-US"/>
        </w:rPr>
        <w:fldChar w:fldCharType="begin" w:fldLock="1"/>
      </w:r>
      <w:r w:rsidR="00EA57FB" w:rsidRPr="002A6BF2">
        <w:rPr>
          <w:lang w:val="en-US"/>
        </w:rPr>
        <w:instrText>ADDIN CSL_CITATION {"citationItems":[{"id":"ITEM-1","itemData":{"DOI":"10.1016/j.ymben.2016.06.003","ISSN":"10967184","abstract":"Corynebacterium glutamicum is an important organism in industrial biotechnology for the microbial production of bulk chemicals, in particular amino acids. However, until now activity of a complex catabolic network for the degradation of aromatic compounds averted application of C. glutamicum as production host for aromatic compounds of pharmaceutical or biotechnological interest. In the course of the construction of a suitable C. glutamicum platform strain for plant polyphenol production, four gene clusters comprising 21 genes involved in the catabolism of aromatic compounds were deleted. Expression of plant-derived and codon-optimized genes coding for a chalcone synthase (CHS) and a chalcone isomerase (CHI) in this strain background enabled formation of 35 mg/L naringenin and 37 mg/L eriodictyol from the supplemented phenylpropanoids p-coumaric acid and caffeic acid, respectively. Furthermore, expression of genes coding for a 4-coumarate: CoA-ligase (4CL) and a stilbene synthase (STS) led to the production of the stilbenes pinosylvin, resveratrol and piceatannol starting from supplemented phenylpropanoids cinnamic acid, p-coumaric acid and caffeic acid, respectively. Stilbene concentrations of up to 158 mg/L could be achieved. Additional engineering of the amino acid metabolism for an optimal connection to the synthetic plant polyphenol pathways enabled resveratrol production directly from glucose. The construction of these C. glutamicum platform strains for the synthesis of plant polyphenols opens the door towards the microbial production of high-value aromatic compounds from cheap carbon sources with this microorganism.","author":[{"dropping-particle":"","family":"Kallscheuer","given":"Nicolai","non-dropping-particle":"","parse-names":false,"suffix":""},{"dropping-particle":"","family":"Vogt","given":"Michael","non-dropping-particle":"","parse-names":false,"suffix":""},{"dropping-particle":"","family":"Stenzel","given":"Anton","non-dropping-particle":"","parse-names":false,"suffix":""},{"dropping-particle":"","family":"Gätgens","given":"Jochem","non-dropping-particle":"","parse-names":false,"suffix":""},{"dropping-particle":"","family":"Bott","given":"Michael","non-dropping-particle":"","parse-names":false,"suffix":""},{"dropping-particle":"","family":"Marienhagen","given":"Jan","non-dropping-particle":"","parse-names":false,"suffix":""}],"container-title":"Metabolic Engineering","id":"ITEM-1","issued":{"date-parts":[["2016"]]},"page":"47-55","publisher":"Elsevier","title":"Construction of a &lt;i&gt;Corynebacterium glutamicum&lt;/i&gt; platform strain for the production of stilbenes and (2S)-flavanones","type":"article-journal","volume":"38"},"uris":["http://www.mendeley.com/documents/?uuid=6bd1384a-3e12-49c7-98d9-22ee69378ba6"]}],"mendeley":{"formattedCitation":"(Kallscheuer et al., 2016)","plainTextFormattedCitation":"(Kallscheuer et al., 2016)","previouslyFormattedCitation":"(Kallscheuer et al., 2016)"},"properties":{"noteIndex":0},"schema":"https://github.com/citation-style-language/schema/raw/master/csl-citation.json"}</w:instrText>
      </w:r>
      <w:r w:rsidR="00746102" w:rsidRPr="002A6BF2">
        <w:rPr>
          <w:lang w:val="en-US"/>
        </w:rPr>
        <w:fldChar w:fldCharType="separate"/>
      </w:r>
      <w:r w:rsidR="00746102" w:rsidRPr="002A6BF2">
        <w:rPr>
          <w:noProof/>
          <w:lang w:val="en-US"/>
        </w:rPr>
        <w:t>(Kallscheuer et al., 2016)</w:t>
      </w:r>
      <w:r w:rsidR="00746102" w:rsidRPr="002A6BF2">
        <w:rPr>
          <w:lang w:val="en-US"/>
        </w:rPr>
        <w:fldChar w:fldCharType="end"/>
      </w:r>
      <w:r w:rsidR="00746102" w:rsidRPr="002A6BF2">
        <w:rPr>
          <w:lang w:val="en-US"/>
        </w:rPr>
        <w:t xml:space="preserve">. </w:t>
      </w:r>
    </w:p>
    <w:p w14:paraId="16D2B614" w14:textId="0699DA87" w:rsidR="00173D65" w:rsidRPr="002A6BF2" w:rsidRDefault="00EE3DD5" w:rsidP="00B84A00">
      <w:pPr>
        <w:spacing w:line="276" w:lineRule="auto"/>
        <w:jc w:val="both"/>
        <w:rPr>
          <w:lang w:val="en-US"/>
        </w:rPr>
      </w:pPr>
      <w:r w:rsidRPr="002A6BF2">
        <w:rPr>
          <w:noProof/>
          <w:lang w:eastAsia="de-DE"/>
        </w:rPr>
        <w:drawing>
          <wp:inline distT="0" distB="0" distL="0" distR="0" wp14:anchorId="538E9AAE" wp14:editId="6B1B74E9">
            <wp:extent cx="2905582" cy="417471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8604" cy="4193422"/>
                    </a:xfrm>
                    <a:prstGeom prst="rect">
                      <a:avLst/>
                    </a:prstGeom>
                    <a:noFill/>
                    <a:ln>
                      <a:noFill/>
                    </a:ln>
                  </pic:spPr>
                </pic:pic>
              </a:graphicData>
            </a:graphic>
          </wp:inline>
        </w:drawing>
      </w:r>
    </w:p>
    <w:p w14:paraId="33036AEC" w14:textId="44714C63" w:rsidR="000E7803" w:rsidRPr="002A6BF2" w:rsidRDefault="00325010" w:rsidP="00B84A00">
      <w:pPr>
        <w:spacing w:line="276" w:lineRule="auto"/>
        <w:jc w:val="both"/>
        <w:rPr>
          <w:lang w:val="en-US"/>
        </w:rPr>
      </w:pPr>
      <w:r w:rsidRPr="002A6BF2">
        <w:rPr>
          <w:lang w:val="en-US"/>
        </w:rPr>
        <w:t>Fig.</w:t>
      </w:r>
      <w:r w:rsidR="000E7803" w:rsidRPr="002A6BF2">
        <w:rPr>
          <w:lang w:val="en-US"/>
        </w:rPr>
        <w:t xml:space="preserve"> </w:t>
      </w:r>
      <w:r w:rsidR="00924473" w:rsidRPr="002A6BF2">
        <w:rPr>
          <w:lang w:val="en-US"/>
        </w:rPr>
        <w:t>7</w:t>
      </w:r>
      <w:r w:rsidR="000E7803" w:rsidRPr="002A6BF2">
        <w:rPr>
          <w:lang w:val="en-US"/>
        </w:rPr>
        <w:t xml:space="preserve"> Biotransformation approach of GRC3</w:t>
      </w:r>
      <w:r w:rsidR="000E7803" w:rsidRPr="002A6BF2">
        <w:rPr>
          <w:rFonts w:ascii="Arial" w:hAnsi="Arial" w:cs="Arial"/>
          <w:lang w:val="en-US"/>
        </w:rPr>
        <w:t>Δ</w:t>
      </w:r>
      <w:r w:rsidR="000E7803" w:rsidRPr="002A6BF2">
        <w:rPr>
          <w:lang w:val="en-US"/>
        </w:rPr>
        <w:t>6MC</w:t>
      </w:r>
      <w:r w:rsidR="000E7803" w:rsidRPr="002A6BF2">
        <w:rPr>
          <w:lang w:val="en-US"/>
        </w:rPr>
        <w:noBreakHyphen/>
        <w:t>II and GRC3</w:t>
      </w:r>
      <w:r w:rsidR="000E7803" w:rsidRPr="002A6BF2">
        <w:rPr>
          <w:rFonts w:ascii="Arial" w:hAnsi="Arial" w:cs="Arial"/>
          <w:lang w:val="en-US"/>
        </w:rPr>
        <w:t>Δ</w:t>
      </w:r>
      <w:r w:rsidR="000E7803" w:rsidRPr="002A6BF2">
        <w:rPr>
          <w:lang w:val="en-US"/>
        </w:rPr>
        <w:t>6MC</w:t>
      </w:r>
      <w:r w:rsidR="000E7803" w:rsidRPr="002A6BF2">
        <w:rPr>
          <w:lang w:val="en-US"/>
        </w:rPr>
        <w:noBreakHyphen/>
        <w:t xml:space="preserve">II </w:t>
      </w:r>
      <w:r w:rsidR="007A2BE6" w:rsidRPr="002A6BF2">
        <w:rPr>
          <w:i/>
          <w:lang w:val="en-US"/>
        </w:rPr>
        <w:t>Cg</w:t>
      </w:r>
      <w:r w:rsidR="000E7803" w:rsidRPr="002A6BF2">
        <w:rPr>
          <w:i/>
          <w:lang w:val="en-US"/>
        </w:rPr>
        <w:t>ACC</w:t>
      </w:r>
      <w:r w:rsidR="00B156F6" w:rsidRPr="002A6BF2">
        <w:rPr>
          <w:lang w:val="en-US"/>
        </w:rPr>
        <w:t xml:space="preserve"> </w:t>
      </w:r>
      <w:r w:rsidR="005E3188" w:rsidRPr="002A6BF2">
        <w:rPr>
          <w:lang w:val="en-US"/>
        </w:rPr>
        <w:t xml:space="preserve">with pinosylvin production module </w:t>
      </w:r>
      <w:r w:rsidR="007C4329" w:rsidRPr="002A6BF2">
        <w:rPr>
          <w:lang w:val="en-US"/>
        </w:rPr>
        <w:t>for pinosylvin synthesis</w:t>
      </w:r>
      <w:r w:rsidR="00EB1081" w:rsidRPr="002A6BF2">
        <w:rPr>
          <w:lang w:val="en-US"/>
        </w:rPr>
        <w:t>. Cultivation in MSM 30 mM glucose with 3x buffer and different supplements (2 mM phenylalanine, 180 µM cerulenin) in 1.5 mL square-well System Duetz plate, initial OD</w:t>
      </w:r>
      <w:r w:rsidR="00EB1081" w:rsidRPr="002A6BF2">
        <w:rPr>
          <w:vertAlign w:val="subscript"/>
          <w:lang w:val="en-US"/>
        </w:rPr>
        <w:t>600</w:t>
      </w:r>
      <w:r w:rsidR="00EB1081" w:rsidRPr="002A6BF2">
        <w:rPr>
          <w:lang w:val="en-US"/>
        </w:rPr>
        <w:t xml:space="preserve"> was 3.4 and 2.7</w:t>
      </w:r>
      <w:r w:rsidR="008901BF" w:rsidRPr="002A6BF2">
        <w:rPr>
          <w:lang w:val="en-US"/>
        </w:rPr>
        <w:t xml:space="preserve"> (Supplementary </w:t>
      </w:r>
      <w:r w:rsidR="00E16CE2" w:rsidRPr="002A6BF2">
        <w:rPr>
          <w:lang w:val="en-US"/>
        </w:rPr>
        <w:t>S16</w:t>
      </w:r>
      <w:r w:rsidR="008901BF" w:rsidRPr="002A6BF2">
        <w:rPr>
          <w:lang w:val="en-US"/>
        </w:rPr>
        <w:t>)</w:t>
      </w:r>
      <w:r w:rsidR="000B5D04" w:rsidRPr="002A6BF2">
        <w:rPr>
          <w:lang w:val="en-US"/>
        </w:rPr>
        <w:t>, sampled after 21 h</w:t>
      </w:r>
      <w:r w:rsidR="005E3188" w:rsidRPr="002A6BF2">
        <w:rPr>
          <w:lang w:val="en-US"/>
        </w:rPr>
        <w:t>.</w:t>
      </w:r>
      <w:r w:rsidR="00C22778" w:rsidRPr="002A6BF2">
        <w:rPr>
          <w:lang w:val="en-US"/>
        </w:rPr>
        <w:t xml:space="preserve"> Error bars represent the standard deviation (n=3) and significance (p&lt;0.05) is indicated by *</w:t>
      </w:r>
      <w:r w:rsidR="00003515" w:rsidRPr="002A6BF2">
        <w:rPr>
          <w:lang w:val="en-US"/>
        </w:rPr>
        <w:t xml:space="preserve"> (****, p</w:t>
      </w:r>
      <w:r w:rsidR="00003515" w:rsidRPr="002A6BF2">
        <w:rPr>
          <w:rFonts w:cstheme="minorHAnsi"/>
          <w:lang w:val="en-US"/>
        </w:rPr>
        <w:t>≤</w:t>
      </w:r>
      <w:r w:rsidR="00003515" w:rsidRPr="002A6BF2">
        <w:rPr>
          <w:lang w:val="en-US"/>
        </w:rPr>
        <w:t>0.0001)</w:t>
      </w:r>
      <w:r w:rsidR="00C22778" w:rsidRPr="002A6BF2">
        <w:rPr>
          <w:lang w:val="en-US"/>
        </w:rPr>
        <w:t xml:space="preserve"> from two-way ANOVA.</w:t>
      </w:r>
    </w:p>
    <w:p w14:paraId="49061545" w14:textId="77777777" w:rsidR="009C5DB0" w:rsidRPr="002A6BF2" w:rsidRDefault="009C5DB0" w:rsidP="00B84A00">
      <w:pPr>
        <w:spacing w:line="276" w:lineRule="auto"/>
        <w:jc w:val="both"/>
        <w:rPr>
          <w:lang w:val="en-US"/>
        </w:rPr>
      </w:pPr>
    </w:p>
    <w:p w14:paraId="18C18DF3" w14:textId="3D153222" w:rsidR="00E81A8F" w:rsidRPr="002A6BF2" w:rsidRDefault="0048476A" w:rsidP="00B84A00">
      <w:pPr>
        <w:pStyle w:val="berschrift2"/>
        <w:numPr>
          <w:ilvl w:val="1"/>
          <w:numId w:val="11"/>
        </w:numPr>
        <w:spacing w:line="276" w:lineRule="auto"/>
        <w:rPr>
          <w:lang w:val="en-US"/>
        </w:rPr>
      </w:pPr>
      <w:bookmarkStart w:id="2" w:name="_Toc94271516"/>
      <w:r w:rsidRPr="002A6BF2">
        <w:rPr>
          <w:lang w:val="en-US"/>
        </w:rPr>
        <w:lastRenderedPageBreak/>
        <w:t xml:space="preserve">Evaluation of </w:t>
      </w:r>
      <w:r w:rsidR="00602358" w:rsidRPr="002A6BF2">
        <w:rPr>
          <w:lang w:val="en-US"/>
        </w:rPr>
        <w:t xml:space="preserve">platform strain </w:t>
      </w:r>
      <w:r w:rsidRPr="002A6BF2">
        <w:rPr>
          <w:lang w:val="en-US"/>
        </w:rPr>
        <w:t>GRC3</w:t>
      </w:r>
      <w:r w:rsidRPr="002A6BF2">
        <w:rPr>
          <w:rFonts w:cstheme="minorHAnsi"/>
          <w:lang w:val="en-US"/>
        </w:rPr>
        <w:t>Δ</w:t>
      </w:r>
      <w:r w:rsidRPr="002A6BF2">
        <w:rPr>
          <w:lang w:val="en-US"/>
        </w:rPr>
        <w:t>6MC-III by s</w:t>
      </w:r>
      <w:r w:rsidR="00E81A8F" w:rsidRPr="002A6BF2">
        <w:rPr>
          <w:lang w:val="en-US"/>
        </w:rPr>
        <w:t>tilben</w:t>
      </w:r>
      <w:r w:rsidR="00602358" w:rsidRPr="002A6BF2">
        <w:rPr>
          <w:lang w:val="en-US"/>
        </w:rPr>
        <w:t>oid</w:t>
      </w:r>
      <w:r w:rsidR="00E81A8F" w:rsidRPr="002A6BF2">
        <w:rPr>
          <w:lang w:val="en-US"/>
        </w:rPr>
        <w:t xml:space="preserve"> synthesis</w:t>
      </w:r>
      <w:bookmarkEnd w:id="2"/>
    </w:p>
    <w:p w14:paraId="6B3A1BFC" w14:textId="14D6CBD3" w:rsidR="00240743" w:rsidRPr="002A6BF2" w:rsidRDefault="000D4A94" w:rsidP="00B84A00">
      <w:pPr>
        <w:spacing w:line="276" w:lineRule="auto"/>
        <w:jc w:val="both"/>
        <w:rPr>
          <w:lang w:val="en-US"/>
        </w:rPr>
      </w:pPr>
      <w:r w:rsidRPr="002A6BF2">
        <w:rPr>
          <w:lang w:val="en-US"/>
        </w:rPr>
        <w:t xml:space="preserve">In order to elucidate probable effects </w:t>
      </w:r>
      <w:r w:rsidR="004524A1" w:rsidRPr="002A6BF2">
        <w:rPr>
          <w:lang w:val="en-US"/>
        </w:rPr>
        <w:t>by</w:t>
      </w:r>
      <w:r w:rsidR="00886337" w:rsidRPr="002A6BF2">
        <w:rPr>
          <w:lang w:val="en-US"/>
        </w:rPr>
        <w:t xml:space="preserve"> more than</w:t>
      </w:r>
      <w:r w:rsidRPr="002A6BF2">
        <w:rPr>
          <w:lang w:val="en-US"/>
        </w:rPr>
        <w:t xml:space="preserve"> one reporter molecule deriving from phenylalanine, resveratrol as a product of </w:t>
      </w:r>
      <w:r w:rsidR="004524A1" w:rsidRPr="002A6BF2">
        <w:rPr>
          <w:lang w:val="en-US"/>
        </w:rPr>
        <w:t xml:space="preserve">tyrosine and </w:t>
      </w:r>
      <w:r w:rsidR="004524A1" w:rsidRPr="002A6BF2">
        <w:rPr>
          <w:i/>
          <w:lang w:val="en-US"/>
        </w:rPr>
        <w:t>p</w:t>
      </w:r>
      <w:r w:rsidR="004524A1" w:rsidRPr="002A6BF2">
        <w:rPr>
          <w:lang w:val="en-US"/>
        </w:rPr>
        <w:noBreakHyphen/>
      </w:r>
      <w:r w:rsidRPr="002A6BF2">
        <w:rPr>
          <w:lang w:val="en-US"/>
        </w:rPr>
        <w:t>coumarate conversion</w:t>
      </w:r>
      <w:r w:rsidR="00D35443" w:rsidRPr="002A6BF2">
        <w:rPr>
          <w:lang w:val="en-US"/>
        </w:rPr>
        <w:t xml:space="preserve"> </w:t>
      </w:r>
      <w:r w:rsidR="00D35443" w:rsidRPr="002A6BF2">
        <w:rPr>
          <w:lang w:val="en-US"/>
        </w:rPr>
        <w:fldChar w:fldCharType="begin" w:fldLock="1"/>
      </w:r>
      <w:r w:rsidR="00D40894" w:rsidRPr="002A6BF2">
        <w:rPr>
          <w:lang w:val="en-US"/>
        </w:rPr>
        <w:instrText>ADDIN CSL_CITATION {"citationItems":[{"id":"ITEM-1","itemData":{"DOI":"10.3389/fbioe.2022.833920","abstract":"Resveratrol, a bioactive natural product found in many plants, is a secondary metabolite and has attracted much attention in the medicine and health care products fields due to its remarkable biological activities including anti-cancer, anti-oxidation, anti-aging, anti-inflammation, neuroprotection and anti-glycation. However, traditional chemical synthesis and plant extraction methods are impractical for industrial resveratrol production because of low yield, toxic chemical solvents and environmental pollution during the production process. Recently, the biosynthesis of resveratrol by constructing microbial cell factories has attracted much attention, because it provides a safe and efficient route for the resveratrol production. This review discusses the physiological functions and market applications of resveratrol. In addition, recent significant biotechnology advances in resveratrol biosynthesis are systematically summarized. Furthermore, we discuss the current challenges and future prospects for strain development for large-scale resveratrol production at an industrial level.","author":[{"dropping-particle":"","family":"Feng","given":"Chao","non-dropping-particle":"","parse-names":false,"suffix":""},{"dropping-particle":"","family":"Chen","given":"Jing","non-dropping-particle":"","parse-names":false,"suffix":""},{"dropping-particle":"","family":"Ye","given":"Wenxin","non-dropping-particle":"","parse-names":false,"suffix":""},{"dropping-particle":"","family":"Liao","given":"Kaisen","non-dropping-particle":"","parse-names":false,"suffix":""},{"dropping-particle":"","family":"Wang","given":"Zhanshi","non-dropping-particle":"","parse-names":false,"suffix":""},{"dropping-particle":"","family":"Song","given":"Xiaofei","non-dropping-particle":"","parse-names":false,"suffix":""},{"dropping-particle":"","family":"Qiao","given":"Mingqiang","non-dropping-particle":"","parse-names":false,"suffix":""}],"container-title":"Frontiers in Bioengineering and Biotechnology","id":"ITEM-1","issue":"January","issued":{"date-parts":[["2022"]]},"page":"1-10","title":"Synthetic Biology-Driven Microbial Production of Resveratrol: Advances and Perspectives","type":"article-journal","volume":"10"},"uris":["http://www.mendeley.com/documents/?uuid=9145edf2-bd48-4e60-a735-107db518591d"]}],"mendeley":{"formattedCitation":"(Feng et al., 2022)","plainTextFormattedCitation":"(Feng et al., 2022)","previouslyFormattedCitation":"(Feng et al., 2022)"},"properties":{"noteIndex":0},"schema":"https://github.com/citation-style-language/schema/raw/master/csl-citation.json"}</w:instrText>
      </w:r>
      <w:r w:rsidR="00D35443" w:rsidRPr="002A6BF2">
        <w:rPr>
          <w:lang w:val="en-US"/>
        </w:rPr>
        <w:fldChar w:fldCharType="separate"/>
      </w:r>
      <w:r w:rsidR="00B255F3" w:rsidRPr="002A6BF2">
        <w:rPr>
          <w:noProof/>
          <w:lang w:val="en-US"/>
        </w:rPr>
        <w:t>(Feng et al., 2022)</w:t>
      </w:r>
      <w:r w:rsidR="00D35443" w:rsidRPr="002A6BF2">
        <w:rPr>
          <w:lang w:val="en-US"/>
        </w:rPr>
        <w:fldChar w:fldCharType="end"/>
      </w:r>
      <w:r w:rsidR="00D35443" w:rsidRPr="002A6BF2">
        <w:rPr>
          <w:lang w:val="en-US"/>
        </w:rPr>
        <w:t xml:space="preserve"> </w:t>
      </w:r>
      <w:r w:rsidRPr="002A6BF2">
        <w:rPr>
          <w:lang w:val="en-US"/>
        </w:rPr>
        <w:t xml:space="preserve">was </w:t>
      </w:r>
      <w:r w:rsidR="002A0E0A" w:rsidRPr="002A6BF2">
        <w:rPr>
          <w:lang w:val="en-US"/>
        </w:rPr>
        <w:t>produced</w:t>
      </w:r>
      <w:r w:rsidR="00287339" w:rsidRPr="002A6BF2">
        <w:rPr>
          <w:lang w:val="en-US"/>
        </w:rPr>
        <w:t xml:space="preserve"> (</w:t>
      </w:r>
      <w:r w:rsidR="00325010" w:rsidRPr="002A6BF2">
        <w:rPr>
          <w:lang w:val="en-US"/>
        </w:rPr>
        <w:t>Fig.</w:t>
      </w:r>
      <w:r w:rsidR="003A6F0C" w:rsidRPr="002A6BF2">
        <w:rPr>
          <w:lang w:val="en-US"/>
        </w:rPr>
        <w:t xml:space="preserve"> </w:t>
      </w:r>
      <w:r w:rsidR="006F6EB0" w:rsidRPr="002A6BF2">
        <w:rPr>
          <w:lang w:val="en-US"/>
        </w:rPr>
        <w:t>8</w:t>
      </w:r>
      <w:r w:rsidR="00287339" w:rsidRPr="002A6BF2">
        <w:rPr>
          <w:lang w:val="en-US"/>
        </w:rPr>
        <w:t>)</w:t>
      </w:r>
      <w:r w:rsidR="00886337" w:rsidRPr="002A6BF2">
        <w:rPr>
          <w:lang w:val="en-US"/>
        </w:rPr>
        <w:t xml:space="preserve">. </w:t>
      </w:r>
      <w:r w:rsidR="00282CBD" w:rsidRPr="002A6BF2">
        <w:rPr>
          <w:lang w:val="en-US"/>
        </w:rPr>
        <w:t xml:space="preserve">The inclusion of this additional product has </w:t>
      </w:r>
      <w:r w:rsidR="00BF3806" w:rsidRPr="002A6BF2">
        <w:rPr>
          <w:lang w:val="en-US"/>
        </w:rPr>
        <w:t>two main</w:t>
      </w:r>
      <w:r w:rsidR="00282CBD" w:rsidRPr="002A6BF2">
        <w:rPr>
          <w:lang w:val="en-US"/>
        </w:rPr>
        <w:t xml:space="preserve"> advantage</w:t>
      </w:r>
      <w:r w:rsidR="00713BDC" w:rsidRPr="002A6BF2">
        <w:rPr>
          <w:lang w:val="en-US"/>
        </w:rPr>
        <w:t>s</w:t>
      </w:r>
      <w:r w:rsidR="00282CBD" w:rsidRPr="002A6BF2">
        <w:rPr>
          <w:lang w:val="en-US"/>
        </w:rPr>
        <w:t xml:space="preserve">: </w:t>
      </w:r>
      <w:r w:rsidR="003A6F0C" w:rsidRPr="002A6BF2">
        <w:rPr>
          <w:lang w:val="en-US"/>
        </w:rPr>
        <w:t>(</w:t>
      </w:r>
      <w:r w:rsidR="00282CBD" w:rsidRPr="002A6BF2">
        <w:rPr>
          <w:lang w:val="en-US"/>
        </w:rPr>
        <w:t xml:space="preserve">1) it </w:t>
      </w:r>
      <w:r w:rsidRPr="002A6BF2">
        <w:rPr>
          <w:lang w:val="en-US"/>
        </w:rPr>
        <w:t>broaden</w:t>
      </w:r>
      <w:r w:rsidR="00886337" w:rsidRPr="002A6BF2">
        <w:rPr>
          <w:lang w:val="en-US"/>
        </w:rPr>
        <w:t>s</w:t>
      </w:r>
      <w:r w:rsidRPr="002A6BF2">
        <w:rPr>
          <w:lang w:val="en-US"/>
        </w:rPr>
        <w:t xml:space="preserve"> the </w:t>
      </w:r>
      <w:r w:rsidR="00510C04" w:rsidRPr="002A6BF2">
        <w:rPr>
          <w:lang w:val="en-US"/>
        </w:rPr>
        <w:t>applicable</w:t>
      </w:r>
      <w:r w:rsidR="0048476A" w:rsidRPr="002A6BF2">
        <w:rPr>
          <w:lang w:val="en-US"/>
        </w:rPr>
        <w:t xml:space="preserve"> product-</w:t>
      </w:r>
      <w:r w:rsidRPr="002A6BF2">
        <w:rPr>
          <w:lang w:val="en-US"/>
        </w:rPr>
        <w:t xml:space="preserve">spectrum of the new </w:t>
      </w:r>
      <w:r w:rsidR="00D35443" w:rsidRPr="002A6BF2">
        <w:rPr>
          <w:lang w:val="en-US"/>
        </w:rPr>
        <w:t xml:space="preserve">platform </w:t>
      </w:r>
      <w:r w:rsidRPr="002A6BF2">
        <w:rPr>
          <w:lang w:val="en-US"/>
        </w:rPr>
        <w:t>strain</w:t>
      </w:r>
      <w:r w:rsidR="00D35443" w:rsidRPr="002A6BF2">
        <w:rPr>
          <w:lang w:val="en-US"/>
        </w:rPr>
        <w:t xml:space="preserve"> GRC3</w:t>
      </w:r>
      <w:r w:rsidR="00D35443" w:rsidRPr="002A6BF2">
        <w:rPr>
          <w:rFonts w:cstheme="minorHAnsi"/>
          <w:lang w:val="en-US"/>
        </w:rPr>
        <w:t>Δ</w:t>
      </w:r>
      <w:r w:rsidR="00D35443" w:rsidRPr="002A6BF2">
        <w:rPr>
          <w:lang w:val="en-US"/>
        </w:rPr>
        <w:t>6MC-III</w:t>
      </w:r>
      <w:r w:rsidR="00282CBD" w:rsidRPr="002A6BF2">
        <w:rPr>
          <w:lang w:val="en-US"/>
        </w:rPr>
        <w:t>,</w:t>
      </w:r>
      <w:r w:rsidR="00BF3806" w:rsidRPr="002A6BF2">
        <w:rPr>
          <w:lang w:val="en-US"/>
        </w:rPr>
        <w:t xml:space="preserve"> and</w:t>
      </w:r>
      <w:r w:rsidR="00282CBD" w:rsidRPr="002A6BF2">
        <w:rPr>
          <w:lang w:val="en-US"/>
        </w:rPr>
        <w:t xml:space="preserve"> </w:t>
      </w:r>
      <w:r w:rsidR="003A6F0C" w:rsidRPr="002A6BF2">
        <w:rPr>
          <w:lang w:val="en-US"/>
        </w:rPr>
        <w:t>(</w:t>
      </w:r>
      <w:r w:rsidR="00282CBD" w:rsidRPr="002A6BF2">
        <w:rPr>
          <w:lang w:val="en-US"/>
        </w:rPr>
        <w:t>2) it makes optimal</w:t>
      </w:r>
      <w:r w:rsidR="00886337" w:rsidRPr="002A6BF2">
        <w:rPr>
          <w:lang w:val="en-US"/>
        </w:rPr>
        <w:t xml:space="preserve"> use</w:t>
      </w:r>
      <w:r w:rsidR="00282CBD" w:rsidRPr="002A6BF2">
        <w:rPr>
          <w:lang w:val="en-US"/>
        </w:rPr>
        <w:t xml:space="preserve"> of</w:t>
      </w:r>
      <w:r w:rsidR="00886337" w:rsidRPr="002A6BF2">
        <w:rPr>
          <w:lang w:val="en-US"/>
        </w:rPr>
        <w:t xml:space="preserve"> the CoA-substrate preference of AhSTS which may reflect in malonyl-CoA consumption</w:t>
      </w:r>
      <w:r w:rsidRPr="002A6BF2">
        <w:rPr>
          <w:lang w:val="en-US"/>
        </w:rPr>
        <w:t xml:space="preserve">. </w:t>
      </w:r>
      <w:r w:rsidR="00D35443" w:rsidRPr="002A6BF2">
        <w:rPr>
          <w:lang w:val="en-US"/>
        </w:rPr>
        <w:t>T</w:t>
      </w:r>
      <w:r w:rsidR="00E81A8F" w:rsidRPr="002A6BF2">
        <w:rPr>
          <w:lang w:val="en-US"/>
        </w:rPr>
        <w:t>he</w:t>
      </w:r>
      <w:r w:rsidR="00D35443" w:rsidRPr="002A6BF2">
        <w:rPr>
          <w:lang w:val="en-US"/>
        </w:rPr>
        <w:t xml:space="preserve"> respective</w:t>
      </w:r>
      <w:r w:rsidR="00E81A8F" w:rsidRPr="002A6BF2">
        <w:rPr>
          <w:lang w:val="en-US"/>
        </w:rPr>
        <w:t xml:space="preserve"> strain</w:t>
      </w:r>
      <w:r w:rsidR="004524A1" w:rsidRPr="002A6BF2">
        <w:rPr>
          <w:lang w:val="en-US"/>
        </w:rPr>
        <w:t>s</w:t>
      </w:r>
      <w:r w:rsidR="00E81A8F" w:rsidRPr="002A6BF2">
        <w:rPr>
          <w:lang w:val="en-US"/>
        </w:rPr>
        <w:t xml:space="preserve"> </w:t>
      </w:r>
      <w:r w:rsidR="004524A1" w:rsidRPr="002A6BF2">
        <w:rPr>
          <w:lang w:val="en-US"/>
        </w:rPr>
        <w:t xml:space="preserve">were </w:t>
      </w:r>
      <w:r w:rsidR="00E81A8F" w:rsidRPr="002A6BF2">
        <w:rPr>
          <w:lang w:val="en-US"/>
        </w:rPr>
        <w:t>equipped with the pinosylvin production module</w:t>
      </w:r>
      <w:r w:rsidR="005408E5" w:rsidRPr="002A6BF2">
        <w:rPr>
          <w:lang w:val="en-US"/>
        </w:rPr>
        <w:t xml:space="preserve"> (Supplementary S17)</w:t>
      </w:r>
      <w:r w:rsidR="00BE6F8C" w:rsidRPr="002A6BF2">
        <w:rPr>
          <w:lang w:val="en-US"/>
        </w:rPr>
        <w:t xml:space="preserve">, </w:t>
      </w:r>
      <w:r w:rsidR="0048476A" w:rsidRPr="002A6BF2">
        <w:rPr>
          <w:lang w:val="en-US"/>
        </w:rPr>
        <w:t>or</w:t>
      </w:r>
      <w:r w:rsidR="00BE6F8C" w:rsidRPr="002A6BF2">
        <w:rPr>
          <w:lang w:val="en-US"/>
        </w:rPr>
        <w:t xml:space="preserve"> with </w:t>
      </w:r>
      <w:r w:rsidR="00E81A8F" w:rsidRPr="002A6BF2">
        <w:rPr>
          <w:lang w:val="en-US"/>
        </w:rPr>
        <w:t>a resveratrol production module</w:t>
      </w:r>
      <w:r w:rsidR="005408E5" w:rsidRPr="002A6BF2">
        <w:rPr>
          <w:lang w:val="en-US"/>
        </w:rPr>
        <w:t xml:space="preserve"> (Fig. 8)</w:t>
      </w:r>
      <w:r w:rsidR="00E81A8F" w:rsidRPr="002A6BF2">
        <w:rPr>
          <w:lang w:val="en-US"/>
        </w:rPr>
        <w:t xml:space="preserve"> in which </w:t>
      </w:r>
      <w:r w:rsidR="00D7407D" w:rsidRPr="002A6BF2">
        <w:rPr>
          <w:lang w:val="en-US"/>
        </w:rPr>
        <w:t>phenylalanine-</w:t>
      </w:r>
      <w:r w:rsidR="00E81A8F" w:rsidRPr="002A6BF2">
        <w:rPr>
          <w:lang w:val="en-US"/>
        </w:rPr>
        <w:t xml:space="preserve">specific AtPAL2 </w:t>
      </w:r>
      <w:r w:rsidR="00192547" w:rsidRPr="002A6BF2">
        <w:rPr>
          <w:lang w:val="en-US"/>
        </w:rPr>
        <w:t>was</w:t>
      </w:r>
      <w:r w:rsidR="00E81A8F" w:rsidRPr="002A6BF2">
        <w:rPr>
          <w:lang w:val="en-US"/>
        </w:rPr>
        <w:t xml:space="preserve"> </w:t>
      </w:r>
      <w:r w:rsidR="00192547" w:rsidRPr="002A6BF2">
        <w:rPr>
          <w:lang w:val="en-US"/>
        </w:rPr>
        <w:t xml:space="preserve">replaced </w:t>
      </w:r>
      <w:r w:rsidR="00E81A8F" w:rsidRPr="002A6BF2">
        <w:rPr>
          <w:lang w:val="en-US"/>
        </w:rPr>
        <w:t xml:space="preserve">by </w:t>
      </w:r>
      <w:r w:rsidR="00D7407D" w:rsidRPr="002A6BF2">
        <w:rPr>
          <w:lang w:val="en-US"/>
        </w:rPr>
        <w:t>tyrosine-</w:t>
      </w:r>
      <w:r w:rsidR="00E81A8F" w:rsidRPr="002A6BF2">
        <w:rPr>
          <w:lang w:val="en-US"/>
        </w:rPr>
        <w:t xml:space="preserve">specific </w:t>
      </w:r>
      <w:r w:rsidR="00D7407D" w:rsidRPr="002A6BF2">
        <w:rPr>
          <w:lang w:val="en-US"/>
        </w:rPr>
        <w:t>ammonia-lyase StsTAL</w:t>
      </w:r>
      <w:r w:rsidR="006D4EFC" w:rsidRPr="002A6BF2">
        <w:rPr>
          <w:lang w:val="en-US"/>
        </w:rPr>
        <w:t xml:space="preserve"> </w:t>
      </w:r>
      <w:r w:rsidR="006D4EFC" w:rsidRPr="002A6BF2">
        <w:rPr>
          <w:lang w:val="en-US"/>
        </w:rPr>
        <w:fldChar w:fldCharType="begin" w:fldLock="1"/>
      </w:r>
      <w:r w:rsidR="00D40894" w:rsidRPr="002A6BF2">
        <w:rPr>
          <w:lang w:val="en-US"/>
        </w:rPr>
        <w:instrText>ADDIN CSL_CITATION {"citationItems":[{"id":"ITEM-1","itemData":{"DOI":"10.1007/s00449-020-02325-5","ISBN":"0123456789","ISSN":"16157605","PMID":"32198549","abstract":"p-Coumaric acid (p-CA) is a bioactive natural product and an important industrial material for pharmaceuticals and nutraceuticals. It can be synthesized from deamination of l-tyrosine by tyrosine ammonia lyase (TAL). In this work, we discovered two aromatic amino acid lyase genes, Sas-tal and Sts-tal, from Saccharothrix sp. NRRL B-16348 and Streptomyces sp. NRRL F-4489, respectively, and expressed them in Escherichia coli BL21(DE3). The two enzymes were functionally characterized as TAL. The optimum reaction temperature for Sas-TAL and Sts-TAL is 55 °C and 50 °C, respectively; while, the optimum pH for both TALs is 11. Sas-TAL had a kcat/Km value of 6.2 μM−1 min−1, while Sts-TAL had a much higher efficiency with a kcat/Km value of 78.3 μM−1 min−1. Both Sts-TAL and Sas-TAL can also take l-phenylalanine as the substrate to yield trans-cinnamic acid, and Sas-TAL showed much higher phenylalanine ammonia lyase activity than Sts-TAL. Using E. coli/Sts-TAL as a whole-cell biocatalyst, the productivity of p-CA reached 2.88 ± 0.12 g (L h)−1, which represents the highest efficiency for microbial production of p-CA. Therefore, this work not only reports the identification of two new TALs from actinomycetes, but also provides an efficient way to produce the industrially valuable material p-CA.","author":[{"dropping-particle":"","family":"Cui","given":"Peiwu","non-dropping-particle":"","parse-names":false,"suffix":""},{"dropping-particle":"","family":"Zhong","given":"Weihong","non-dropping-particle":"","parse-names":false,"suffix":""},{"dropping-particle":"","family":"Qin","given":"Yong","non-dropping-particle":"","parse-names":false,"suffix":""},{"dropping-particle":"","family":"Tao","given":"Fuping","non-dropping-particle":"","parse-names":false,"suffix":""},{"dropping-particle":"","family":"Wang","given":"Wei","non-dropping-particle":"","parse-names":false,"suffix":""},{"dropping-particle":"","family":"Zhan","given":"Jixun","non-dropping-particle":"","parse-names":false,"suffix":""}],"container-title":"Bioprocess and Biosystems Engineering","id":"ITEM-1","issue":"7","issued":{"date-parts":[["2020"]]},"note":"sts-TAL is a specific TAL with relatively high activity\nhttps://www.ncbi.nlm.nih.gov/protein/WP_066973014.1?report=genpept","page":"1287-1298","publisher":"Springer Berlin Heidelberg","title":"Characterization of two new aromatic amino acid lyases from actinomycetes for highly efficient production of &lt;i&gt;p&lt;/i&gt;-coumaric acid","type":"article-journal","volume":"43"},"uris":["http://www.mendeley.com/documents/?uuid=d7c2a427-1f55-4b7a-b83b-e24376422431"]}],"mendeley":{"formattedCitation":"(Cui et al., 2020)","plainTextFormattedCitation":"(Cui et al., 2020)","previouslyFormattedCitation":"(Cui et al., 2020)"},"properties":{"noteIndex":0},"schema":"https://github.com/citation-style-language/schema/raw/master/csl-citation.json"}</w:instrText>
      </w:r>
      <w:r w:rsidR="006D4EFC" w:rsidRPr="002A6BF2">
        <w:rPr>
          <w:lang w:val="en-US"/>
        </w:rPr>
        <w:fldChar w:fldCharType="separate"/>
      </w:r>
      <w:r w:rsidR="00B255F3" w:rsidRPr="002A6BF2">
        <w:rPr>
          <w:noProof/>
          <w:lang w:val="en-US"/>
        </w:rPr>
        <w:t>(Cui et al., 2020)</w:t>
      </w:r>
      <w:r w:rsidR="006D4EFC" w:rsidRPr="002A6BF2">
        <w:rPr>
          <w:lang w:val="en-US"/>
        </w:rPr>
        <w:fldChar w:fldCharType="end"/>
      </w:r>
      <w:r w:rsidR="00974B73" w:rsidRPr="002A6BF2">
        <w:rPr>
          <w:lang w:val="en-US"/>
        </w:rPr>
        <w:t>.</w:t>
      </w:r>
      <w:r w:rsidR="002F5CE9" w:rsidRPr="002A6BF2">
        <w:rPr>
          <w:lang w:val="en-US"/>
        </w:rPr>
        <w:t xml:space="preserve"> In order to assess the possibility of </w:t>
      </w:r>
      <w:r w:rsidR="002F5CE9" w:rsidRPr="002A6BF2">
        <w:rPr>
          <w:i/>
          <w:lang w:val="en-US"/>
        </w:rPr>
        <w:t xml:space="preserve">de novo </w:t>
      </w:r>
      <w:r w:rsidR="002F5CE9" w:rsidRPr="002A6BF2">
        <w:rPr>
          <w:lang w:val="en-US"/>
        </w:rPr>
        <w:t xml:space="preserve">synthesis of phenylpropanoid precursors with a lower metabolic burden, a point mutation was introduced in </w:t>
      </w:r>
      <w:r w:rsidR="002F5CE9" w:rsidRPr="002A6BF2">
        <w:rPr>
          <w:i/>
          <w:lang w:val="en-US"/>
        </w:rPr>
        <w:t>aroF-1</w:t>
      </w:r>
      <w:r w:rsidR="002F5CE9" w:rsidRPr="002A6BF2">
        <w:rPr>
          <w:lang w:val="en-US"/>
        </w:rPr>
        <w:t xml:space="preserve"> (P148L)</w:t>
      </w:r>
      <w:r w:rsidR="006F6EB0" w:rsidRPr="002A6BF2">
        <w:rPr>
          <w:lang w:val="en-US"/>
        </w:rPr>
        <w:t xml:space="preserve"> </w:t>
      </w:r>
      <w:r w:rsidR="006F6EB0" w:rsidRPr="002A6BF2">
        <w:rPr>
          <w:lang w:val="en-US"/>
        </w:rPr>
        <w:fldChar w:fldCharType="begin" w:fldLock="1"/>
      </w:r>
      <w:r w:rsidR="00857265">
        <w:rPr>
          <w:lang w:val="en-US"/>
        </w:rPr>
        <w:instrText>ADDIN CSL_CITATION {"citationItems":[{"id":"ITEM-1","itemData":{"DOI":"10.1016/j.ymben.2018.03.011","ISSN":"10967184","abstract":"Aromatic chemicals are important building blocks for the production of a multitude of everyday commodities. Currently, aromatics production relies almost exclusively on petrochemical processes. To achieve sustainability, alternative synthesis methods need to be developed. Here, we strived for an efficient production of phenol, a model aromatic compound of industrial relevance, from renewable carbon sources using the solvent-tolerant biocatalyst Pseudomonas taiwanensis VLB120. First, multiple catabolic routes for the degradation of aromatics and related compounds were inactivated, thereby obtaining the chassis strain P. taiwanensis VLB120Δ5 incapable of growing on 4-hydroxybenzoate (ΔpobA), tyrosine (Δhpd), and quinate (ΔquiC, ΔquiC1, ΔquiC2). In this context, a novel gene contributing to the quinate catabolism was identified (quiC2). Second, we employed a combination of reverse- and forward engineering to increase metabolic flux towards the product, using leads obtained from the analysis of aromatics producing Pseudomonas putida strains previously generated by mutagenesis. Phenol production was enabled by the heterologous expression of a codon-optimized and chromosomally integrated tyrosine phenol-lyase encoding gene from Pantoea agglomerans AJ2985 (PaTPL2). The genomic modification of endogenous genes encoding TrpEP290S, AroF-1P148L, and PheAT310I, and the deletion of pykA improved phenol production 17-fold, while also minimizing the burden caused by plasmids and auxotrophies. The additional overexpression of known bottleneck enzymes (AroGfbr, TyrAfbr) derived from Escherichia coli further enhanced phenol titers. The best producing strain P. taiwanensis VLB120Δ5-TPL36 reached yields of 15.8% and 18.5% (Cmol/Cmol) phenol from glucose and glycerol, respectively, in a mineral medium without addition of complex nutrients. This is the highest yield ever reported for microbially produced phenol.","author":[{"dropping-particle":"","family":"Wynands","given":"Benedikt","non-dropping-particle":"","parse-names":false,"suffix":""},{"dropping-particle":"","family":"Lenzen","given":"Christoph","non-dropping-particle":"","parse-names":false,"suffix":""},{"dropping-particle":"","family":"Otto","given":"Maike","non-dropping-particle":"","parse-names":false,"suffix":""},{"dropping-particle":"","family":"Koch","given":"Falk","non-dropping-particle":"","parse-names":false,"suffix":""},{"dropping-particle":"","family":"Blank","given":"Lars M.","non-dropping-particle":"","parse-names":false,"suffix":""},{"dropping-particle":"","family":"Wierckx","given":"Nick","non-dropping-particle":"","parse-names":false,"suffix":""}],"container-title":"Metabolic Engineering","id":"ITEM-1","issue":"December 2017","issued":{"date-parts":[["2018"]]},"page":"121-133","publisher":"Elsevier Inc.","title":"Metabolic engineering of &lt;i&gt;Pseudomonas taiwanensis&lt;/i&gt; VLB120 with minimal genomic modifications for high-yield phenol production","type":"article-journal","volume":"47"},"uris":["http://www.mendeley.com/documents/?uuid=4f57a70f-b323-400a-8556-964eeabbceb1"]}],"mendeley":{"formattedCitation":"(Wynands et al., 2018)","plainTextFormattedCitation":"(Wynands et al., 2018)","previouslyFormattedCitation":"(Wynands et al., 2018)"},"properties":{"noteIndex":0},"schema":"https://github.com/citation-style-language/schema/raw/master/csl-citation.json"}</w:instrText>
      </w:r>
      <w:r w:rsidR="006F6EB0" w:rsidRPr="002A6BF2">
        <w:rPr>
          <w:lang w:val="en-US"/>
        </w:rPr>
        <w:fldChar w:fldCharType="separate"/>
      </w:r>
      <w:r w:rsidR="006F6EB0" w:rsidRPr="002A6BF2">
        <w:rPr>
          <w:noProof/>
          <w:lang w:val="en-US"/>
        </w:rPr>
        <w:t>(Wynands et al., 2018)</w:t>
      </w:r>
      <w:r w:rsidR="006F6EB0" w:rsidRPr="002A6BF2">
        <w:rPr>
          <w:lang w:val="en-US"/>
        </w:rPr>
        <w:fldChar w:fldCharType="end"/>
      </w:r>
      <w:r w:rsidR="002F5CE9" w:rsidRPr="002A6BF2">
        <w:rPr>
          <w:lang w:val="en-US"/>
        </w:rPr>
        <w:t xml:space="preserve"> leading to a more moderate increase of metabolic flux into the shikimate pathway compared to the</w:t>
      </w:r>
      <w:r w:rsidR="006F6EB0" w:rsidRPr="002A6BF2">
        <w:rPr>
          <w:lang w:val="en-US"/>
        </w:rPr>
        <w:t xml:space="preserve"> GRC3</w:t>
      </w:r>
      <w:r w:rsidR="002F5CE9" w:rsidRPr="002A6BF2">
        <w:rPr>
          <w:lang w:val="en-US"/>
        </w:rPr>
        <w:t xml:space="preserve"> PHE strain used in section 3.3 (Fig</w:t>
      </w:r>
      <w:r w:rsidR="006F6EB0" w:rsidRPr="002A6BF2">
        <w:rPr>
          <w:lang w:val="en-US"/>
        </w:rPr>
        <w:t>.</w:t>
      </w:r>
      <w:r w:rsidR="002F5CE9" w:rsidRPr="002A6BF2">
        <w:rPr>
          <w:lang w:val="en-US"/>
        </w:rPr>
        <w:t xml:space="preserve"> 8).</w:t>
      </w:r>
      <w:r w:rsidR="00E81A8F" w:rsidRPr="002A6BF2">
        <w:rPr>
          <w:lang w:val="en-US"/>
        </w:rPr>
        <w:t xml:space="preserve"> </w:t>
      </w:r>
      <w:r w:rsidR="00F04FFD" w:rsidRPr="002A6BF2">
        <w:rPr>
          <w:lang w:val="en-US"/>
        </w:rPr>
        <w:t>However, w</w:t>
      </w:r>
      <w:r w:rsidR="00831417" w:rsidRPr="002A6BF2">
        <w:rPr>
          <w:lang w:val="en-US"/>
        </w:rPr>
        <w:t xml:space="preserve">hen supplemented with </w:t>
      </w:r>
      <w:r w:rsidR="00831417" w:rsidRPr="002A6BF2">
        <w:rPr>
          <w:i/>
          <w:lang w:val="en-US"/>
        </w:rPr>
        <w:t>p</w:t>
      </w:r>
      <w:r w:rsidR="00831417" w:rsidRPr="002A6BF2">
        <w:rPr>
          <w:lang w:val="en-US"/>
        </w:rPr>
        <w:t xml:space="preserve">-coumarate, resveratrol concentrations were 84 </w:t>
      </w:r>
      <w:r w:rsidR="00831417" w:rsidRPr="002A6BF2">
        <w:rPr>
          <w:rFonts w:cstheme="minorHAnsi"/>
          <w:lang w:val="en-US"/>
        </w:rPr>
        <w:t>±</w:t>
      </w:r>
      <w:r w:rsidR="00831417" w:rsidRPr="002A6BF2">
        <w:rPr>
          <w:lang w:val="en-US"/>
        </w:rPr>
        <w:t xml:space="preserve"> 2.2 mg L</w:t>
      </w:r>
      <w:r w:rsidR="00831417" w:rsidRPr="002A6BF2">
        <w:rPr>
          <w:vertAlign w:val="superscript"/>
          <w:lang w:val="en-US"/>
        </w:rPr>
        <w:t>-1</w:t>
      </w:r>
      <w:r w:rsidR="00831417" w:rsidRPr="002A6BF2">
        <w:rPr>
          <w:lang w:val="en-US"/>
        </w:rPr>
        <w:t xml:space="preserve"> (0.37 mM) and 62.5 </w:t>
      </w:r>
      <w:r w:rsidR="00831417" w:rsidRPr="002A6BF2">
        <w:rPr>
          <w:rFonts w:cstheme="minorHAnsi"/>
          <w:lang w:val="en-US"/>
        </w:rPr>
        <w:t>±</w:t>
      </w:r>
      <w:r w:rsidR="00831417" w:rsidRPr="002A6BF2">
        <w:rPr>
          <w:lang w:val="en-US"/>
        </w:rPr>
        <w:t xml:space="preserve"> 2.6 mg L</w:t>
      </w:r>
      <w:r w:rsidR="00831417" w:rsidRPr="002A6BF2">
        <w:rPr>
          <w:vertAlign w:val="superscript"/>
          <w:lang w:val="en-US"/>
        </w:rPr>
        <w:t>-1</w:t>
      </w:r>
      <w:r w:rsidR="00F04FFD" w:rsidRPr="002A6BF2">
        <w:rPr>
          <w:lang w:val="en-US"/>
        </w:rPr>
        <w:t xml:space="preserve"> (</w:t>
      </w:r>
      <w:r w:rsidR="00831417" w:rsidRPr="002A6BF2">
        <w:rPr>
          <w:lang w:val="en-US"/>
        </w:rPr>
        <w:t>0.27 mM) for GRC3Δ6MC-III and GRC3Δ6MC-III aroF-1</w:t>
      </w:r>
      <w:r w:rsidR="00831417" w:rsidRPr="002A6BF2">
        <w:rPr>
          <w:vertAlign w:val="superscript"/>
          <w:lang w:val="en-US"/>
        </w:rPr>
        <w:t>P148L</w:t>
      </w:r>
      <w:r w:rsidR="00831417" w:rsidRPr="002A6BF2">
        <w:rPr>
          <w:lang w:val="en-US"/>
        </w:rPr>
        <w:t xml:space="preserve">, respectively (Fig. 8). These results indicate that </w:t>
      </w:r>
      <w:r w:rsidR="00F04FFD" w:rsidRPr="002A6BF2">
        <w:rPr>
          <w:lang w:val="en-US"/>
        </w:rPr>
        <w:t xml:space="preserve">even a moderate increase in aromatics production caused a negative effect likely due to the </w:t>
      </w:r>
      <w:r w:rsidR="00831417" w:rsidRPr="002A6BF2">
        <w:rPr>
          <w:lang w:val="en-US"/>
        </w:rPr>
        <w:t>metabolic burden of aromatics production (Fig. S17, Fig. 8).</w:t>
      </w:r>
      <w:r w:rsidR="005C06AC" w:rsidRPr="002A6BF2">
        <w:rPr>
          <w:lang w:val="en-US"/>
        </w:rPr>
        <w:t xml:space="preserve"> </w:t>
      </w:r>
      <w:r w:rsidR="00F04FFD" w:rsidRPr="002A6BF2">
        <w:rPr>
          <w:lang w:val="en-US"/>
        </w:rPr>
        <w:t>A</w:t>
      </w:r>
      <w:r w:rsidR="00632983" w:rsidRPr="002A6BF2">
        <w:rPr>
          <w:lang w:val="en-US"/>
        </w:rPr>
        <w:t xml:space="preserve">pproximately </w:t>
      </w:r>
      <w:r w:rsidR="00240743" w:rsidRPr="002A6BF2">
        <w:rPr>
          <w:lang w:val="en-US"/>
        </w:rPr>
        <w:t xml:space="preserve">72% of the supplemented </w:t>
      </w:r>
      <w:r w:rsidR="00240743" w:rsidRPr="002A6BF2">
        <w:rPr>
          <w:i/>
          <w:lang w:val="en-US"/>
        </w:rPr>
        <w:t>p</w:t>
      </w:r>
      <w:r w:rsidR="00240743" w:rsidRPr="002A6BF2">
        <w:rPr>
          <w:lang w:val="en-US"/>
        </w:rPr>
        <w:t>-coumarate</w:t>
      </w:r>
      <w:r w:rsidR="00287339" w:rsidRPr="002A6BF2">
        <w:rPr>
          <w:lang w:val="en-US"/>
        </w:rPr>
        <w:t xml:space="preserve"> (0.5 mM)</w:t>
      </w:r>
      <w:r w:rsidR="00240743" w:rsidRPr="002A6BF2">
        <w:rPr>
          <w:lang w:val="en-US"/>
        </w:rPr>
        <w:t xml:space="preserve"> was converted to the product resveratrol with 30 mM glucose in medium for growth and CoA-esters supply</w:t>
      </w:r>
      <w:r w:rsidR="00287339" w:rsidRPr="002A6BF2">
        <w:rPr>
          <w:lang w:val="en-US"/>
        </w:rPr>
        <w:t xml:space="preserve"> (Supplementary </w:t>
      </w:r>
      <w:r w:rsidR="00325010" w:rsidRPr="002A6BF2">
        <w:rPr>
          <w:lang w:val="en-US"/>
        </w:rPr>
        <w:t>Fig.</w:t>
      </w:r>
      <w:r w:rsidR="003A6F0C" w:rsidRPr="002A6BF2">
        <w:rPr>
          <w:lang w:val="en-US"/>
        </w:rPr>
        <w:t xml:space="preserve"> </w:t>
      </w:r>
      <w:r w:rsidR="00287339" w:rsidRPr="002A6BF2">
        <w:rPr>
          <w:lang w:val="en-US"/>
        </w:rPr>
        <w:t>S1</w:t>
      </w:r>
      <w:r w:rsidR="00E16CE2" w:rsidRPr="002A6BF2">
        <w:rPr>
          <w:lang w:val="en-US"/>
        </w:rPr>
        <w:t>8</w:t>
      </w:r>
      <w:r w:rsidR="00287339" w:rsidRPr="002A6BF2">
        <w:rPr>
          <w:lang w:val="en-US"/>
        </w:rPr>
        <w:t>)</w:t>
      </w:r>
      <w:r w:rsidR="00240743" w:rsidRPr="002A6BF2">
        <w:rPr>
          <w:lang w:val="en-US"/>
        </w:rPr>
        <w:t xml:space="preserve">. </w:t>
      </w:r>
      <w:r w:rsidR="00B3142B" w:rsidRPr="002A6BF2">
        <w:rPr>
          <w:lang w:val="en-US"/>
        </w:rPr>
        <w:t xml:space="preserve">In previous studies using </w:t>
      </w:r>
      <w:r w:rsidR="00B3142B" w:rsidRPr="002A6BF2">
        <w:rPr>
          <w:i/>
          <w:iCs/>
          <w:lang w:val="en-US"/>
        </w:rPr>
        <w:t>C</w:t>
      </w:r>
      <w:r w:rsidR="003D02C4">
        <w:rPr>
          <w:i/>
          <w:iCs/>
          <w:lang w:val="en-US"/>
        </w:rPr>
        <w:t>.</w:t>
      </w:r>
      <w:r w:rsidR="00B3142B" w:rsidRPr="002A6BF2">
        <w:rPr>
          <w:i/>
          <w:iCs/>
          <w:lang w:val="en-US"/>
        </w:rPr>
        <w:t xml:space="preserve"> glutamicum</w:t>
      </w:r>
      <w:r w:rsidR="00B3142B" w:rsidRPr="002A6BF2">
        <w:rPr>
          <w:lang w:val="en-US"/>
        </w:rPr>
        <w:t xml:space="preserve"> about 169 </w:t>
      </w:r>
      <w:r w:rsidR="00B3142B" w:rsidRPr="002A6BF2">
        <w:rPr>
          <w:lang w:val="en-US"/>
        </w:rPr>
        <w:lastRenderedPageBreak/>
        <w:t>± 11.8 mg L</w:t>
      </w:r>
      <w:r w:rsidR="00B3142B" w:rsidRPr="002A6BF2">
        <w:rPr>
          <w:vertAlign w:val="superscript"/>
          <w:lang w:val="en-US"/>
        </w:rPr>
        <w:t>−1</w:t>
      </w:r>
      <w:r w:rsidR="00B3142B" w:rsidRPr="002A6BF2">
        <w:rPr>
          <w:lang w:val="en-US"/>
        </w:rPr>
        <w:t xml:space="preserve"> </w:t>
      </w:r>
      <w:r w:rsidR="00030E04" w:rsidRPr="002A6BF2">
        <w:rPr>
          <w:lang w:val="en-US"/>
        </w:rPr>
        <w:t xml:space="preserve">(0.8 mM) </w:t>
      </w:r>
      <w:r w:rsidR="00B3142B" w:rsidRPr="002A6BF2">
        <w:rPr>
          <w:lang w:val="en-US"/>
        </w:rPr>
        <w:t>resveratrol were reached in shake flasks from 220 mM glucose</w:t>
      </w:r>
      <w:r w:rsidR="00831417" w:rsidRPr="002A6BF2">
        <w:rPr>
          <w:lang w:val="en-US"/>
        </w:rPr>
        <w:t xml:space="preserve"> and</w:t>
      </w:r>
      <w:r w:rsidR="003F7130" w:rsidRPr="002A6BF2">
        <w:rPr>
          <w:lang w:val="en-US"/>
        </w:rPr>
        <w:t xml:space="preserve"> 5 mM</w:t>
      </w:r>
      <w:r w:rsidR="00831417" w:rsidRPr="002A6BF2">
        <w:rPr>
          <w:lang w:val="en-US"/>
        </w:rPr>
        <w:t xml:space="preserve"> </w:t>
      </w:r>
      <w:r w:rsidR="00831417" w:rsidRPr="002A6BF2">
        <w:rPr>
          <w:i/>
          <w:lang w:val="en-US"/>
        </w:rPr>
        <w:t>p</w:t>
      </w:r>
      <w:r w:rsidR="00831417" w:rsidRPr="002A6BF2">
        <w:rPr>
          <w:lang w:val="en-US"/>
        </w:rPr>
        <w:t>-coumarate</w:t>
      </w:r>
      <w:r w:rsidR="00B3142B" w:rsidRPr="002A6BF2">
        <w:rPr>
          <w:lang w:val="en-US"/>
        </w:rPr>
        <w:t xml:space="preserve"> which corresponds to a 7-fold higher glucose supply but only 2-fold higher product titer than in this study. However, 1.71 g L</w:t>
      </w:r>
      <w:r w:rsidR="00B3142B" w:rsidRPr="002A6BF2">
        <w:rPr>
          <w:vertAlign w:val="superscript"/>
          <w:lang w:val="en-US"/>
        </w:rPr>
        <w:t>-1</w:t>
      </w:r>
      <w:r w:rsidR="00B3142B" w:rsidRPr="002A6BF2">
        <w:rPr>
          <w:lang w:val="en-US"/>
        </w:rPr>
        <w:t xml:space="preserve"> </w:t>
      </w:r>
      <w:r w:rsidR="00030E04" w:rsidRPr="002A6BF2">
        <w:rPr>
          <w:lang w:val="en-US"/>
        </w:rPr>
        <w:t xml:space="preserve">(7.5 mM) </w:t>
      </w:r>
      <w:r w:rsidR="00B3142B" w:rsidRPr="002A6BF2">
        <w:rPr>
          <w:lang w:val="en-US"/>
        </w:rPr>
        <w:t xml:space="preserve">were reached in biphasic fed-batch cultivation with that strain </w:t>
      </w:r>
      <w:r w:rsidR="00B3142B" w:rsidRPr="002A6BF2">
        <w:rPr>
          <w:lang w:val="en-US"/>
        </w:rPr>
        <w:fldChar w:fldCharType="begin" w:fldLock="1"/>
      </w:r>
      <w:r w:rsidR="007E5EDF" w:rsidRPr="002A6BF2">
        <w:rPr>
          <w:lang w:val="en-US"/>
        </w:rPr>
        <w:instrText>ADDIN CSL_CITATION {"citationItems":[{"id":"ITEM-1","itemData":{"DOI":"10.1021/acssuschemeng.1c05865","author":[{"dropping-particle":"","family":"Tharmasothirajan","given":"Apilaasha","non-dropping-particle":"","parse-names":false,"suffix":""},{"dropping-particle":"","family":"Wellfonder","given":"Marie","non-dropping-particle":"","parse-names":false,"suffix":""},{"dropping-particle":"","family":"Marienhagen","given":"Jan","non-dropping-particle":"","parse-names":false,"suffix":""}],"container-title":"ACS Sustainable Chemistry and Engineering","id":"ITEM-1","issued":{"date-parts":[["2021"]]},"title":"Microbial Polyphenol Production in a Biphasic Process","type":"article-journal"},"uris":["http://www.mendeley.com/documents/?uuid=4ac4a97b-55a2-4ae9-9bc4-739abe7166d1"]}],"mendeley":{"formattedCitation":"(Tharmasothirajan et al., 2021)","plainTextFormattedCitation":"(Tharmasothirajan et al., 2021)","previouslyFormattedCitation":"(Tharmasothirajan et al., 2021)"},"properties":{"noteIndex":0},"schema":"https://github.com/citation-style-language/schema/raw/master/csl-citation.json"}</w:instrText>
      </w:r>
      <w:r w:rsidR="00B3142B" w:rsidRPr="002A6BF2">
        <w:rPr>
          <w:lang w:val="en-US"/>
        </w:rPr>
        <w:fldChar w:fldCharType="separate"/>
      </w:r>
      <w:r w:rsidR="00B3142B" w:rsidRPr="002A6BF2">
        <w:rPr>
          <w:noProof/>
          <w:lang w:val="en-US"/>
        </w:rPr>
        <w:t>(Tharmasothirajan et al., 2021)</w:t>
      </w:r>
      <w:r w:rsidR="00B3142B" w:rsidRPr="002A6BF2">
        <w:rPr>
          <w:lang w:val="en-US"/>
        </w:rPr>
        <w:fldChar w:fldCharType="end"/>
      </w:r>
      <w:r w:rsidR="00B3142B" w:rsidRPr="002A6BF2">
        <w:rPr>
          <w:lang w:val="en-US"/>
        </w:rPr>
        <w:t>. Highest titers so far were reached by yeast</w:t>
      </w:r>
      <w:r w:rsidR="00053FC1" w:rsidRPr="002A6BF2">
        <w:rPr>
          <w:lang w:val="en-US"/>
        </w:rPr>
        <w:t xml:space="preserve"> </w:t>
      </w:r>
      <w:r w:rsidR="00053FC1" w:rsidRPr="002A6BF2">
        <w:rPr>
          <w:i/>
          <w:iCs/>
          <w:lang w:val="en-US"/>
        </w:rPr>
        <w:t>Y</w:t>
      </w:r>
      <w:r w:rsidR="003D02C4">
        <w:rPr>
          <w:i/>
          <w:iCs/>
          <w:lang w:val="en-US"/>
        </w:rPr>
        <w:t>.</w:t>
      </w:r>
      <w:r w:rsidR="00053FC1" w:rsidRPr="002A6BF2">
        <w:rPr>
          <w:i/>
          <w:iCs/>
          <w:lang w:val="en-US"/>
        </w:rPr>
        <w:t xml:space="preserve"> lipolytica</w:t>
      </w:r>
      <w:r w:rsidR="00B3142B" w:rsidRPr="002A6BF2">
        <w:rPr>
          <w:lang w:val="en-US"/>
        </w:rPr>
        <w:t xml:space="preserve"> production systems </w:t>
      </w:r>
      <w:r w:rsidR="007E5EDF" w:rsidRPr="002A6BF2">
        <w:rPr>
          <w:lang w:val="en-US"/>
        </w:rPr>
        <w:t>reaching 12.4 g L</w:t>
      </w:r>
      <w:r w:rsidR="007E5EDF" w:rsidRPr="002A6BF2">
        <w:rPr>
          <w:vertAlign w:val="superscript"/>
          <w:lang w:val="en-US"/>
        </w:rPr>
        <w:t>-1</w:t>
      </w:r>
      <w:r w:rsidR="00030E04" w:rsidRPr="002A6BF2">
        <w:rPr>
          <w:lang w:val="en-US"/>
        </w:rPr>
        <w:t xml:space="preserve"> (54.4 mM)</w:t>
      </w:r>
      <w:r w:rsidR="007E5EDF" w:rsidRPr="002A6BF2">
        <w:rPr>
          <w:lang w:val="en-US"/>
        </w:rPr>
        <w:t xml:space="preserve"> </w:t>
      </w:r>
      <w:r w:rsidR="007E5EDF" w:rsidRPr="002A6BF2">
        <w:rPr>
          <w:lang w:val="en-US"/>
        </w:rPr>
        <w:fldChar w:fldCharType="begin" w:fldLock="1"/>
      </w:r>
      <w:r w:rsidR="00053FC1" w:rsidRPr="002A6BF2">
        <w:rPr>
          <w:lang w:val="en-US"/>
        </w:rPr>
        <w:instrText>ADDIN CSL_CITATION {"citationItems":[{"id":"ITEM-1","itemData":{"DOI":"10.1016/j.ymben.2020.08.009","ISSN":"10967184","PMID":"32818629","abstract":"Resveratrol is a plant secondary metabolite with multiple health-beneficial properties. Microbial production of resveratrol in model microorganisms requires extensive engineering to reach commercially viable levels. Here, we explored the potential of the non-conventional yeast Yarrowia lipolytica to produce resveratrol and several other shikimate pathway-derived metabolites (p-coumaric acid, cis,cis-muconic acid, and salicylic acid). The Y. lipolytica strain expressing a heterologous pathway produced 52.1 ± 1.2 mg/L resveratrol in a small-scale cultivation. The titer increased to 409.0 ± 1.2 mg/L when the strain was further engineered with feedback-insensitive alleles of the key genes in the shikimate pathway and with five additional copies of the heterologous biosynthetic genes. In controlled fed-batch bioreactor, the strain produced 12.4 ± 0.3 g/L resveratrol, the highest reported titer to date for de novo resveratrol production, with a yield on glucose of 54.4 ± 1.6 mg/g and a productivity of 0.14 ± 0.01 g/L/h. The study showed that Y. lipolytica is an attractive host organism for the production of resveratrol and possibly other shikimate-pathway derived metabolites.","author":[{"dropping-particle":"","family":"Sáez-Sáez","given":"Javier","non-dropping-particle":"","parse-names":false,"suffix":""},{"dropping-particle":"","family":"Wang","given":"Guokun","non-dropping-particle":"","parse-names":false,"suffix":""},{"dropping-particle":"","family":"Marella","given":"Eko Roy","non-dropping-particle":"","parse-names":false,"suffix":""},{"dropping-particle":"","family":"Sudarsan","given":"Suresh","non-dropping-particle":"","parse-names":false,"suffix":""},{"dropping-particle":"","family":"Cernuda Pastor","given":"Marc","non-dropping-particle":"","parse-names":false,"suffix":""},{"dropping-particle":"","family":"Borodina","given":"Irina","non-dropping-particle":"","parse-names":false,"suffix":""}],"container-title":"Metabolic Engineering","id":"ITEM-1","issue":"August","issued":{"date-parts":[["2020"]]},"note":"current market volume is $97.7 million. Main source of resveratrol is extract from japanese knotwood\n\nchemisch synthtisiert von DSM und fermentativ hergestellt von evolva\n\nhaben auch salicylate gemacht 376 mg/L\n\nunter gleichen bedingungen wie S.cerevisiae macht Y. lipolytica 4.5x mehr resveratrol\n\nIn Y.lipolytica the supply of aromatics is limiting resveratrol production\n\nACC expression nicht limitierend \n\nexpression von TAL-4CL-VST ist limitierung, daher bringt hier multiple insertion sehr viel (Fig 4)\n\nyield 54.4 mg/g entsprechen approx 15.3% of max theoretischer yield\n\nantifoam hat negative impact on resveratrol titers when tested separately in small-scale cultivations.","page":"51-61","title":"Engineering the oleaginous yeast &lt;i&gt;Yarrowia lipolytica&lt;/i&gt; for high-level resveratrol production","type":"article-journal","volume":"62"},"uris":["http://www.mendeley.com/documents/?uuid=f9d3b7d2-780b-4290-8b91-4eb36a62853e"]}],"mendeley":{"formattedCitation":"(Sáez-Sáez et al., 2020)","plainTextFormattedCitation":"(Sáez-Sáez et al., 2020)","previouslyFormattedCitation":"(Sáez-Sáez et al., 2020)"},"properties":{"noteIndex":0},"schema":"https://github.com/citation-style-language/schema/raw/master/csl-citation.json"}</w:instrText>
      </w:r>
      <w:r w:rsidR="007E5EDF" w:rsidRPr="002A6BF2">
        <w:rPr>
          <w:lang w:val="en-US"/>
        </w:rPr>
        <w:fldChar w:fldCharType="separate"/>
      </w:r>
      <w:r w:rsidR="007E5EDF" w:rsidRPr="002A6BF2">
        <w:rPr>
          <w:noProof/>
          <w:lang w:val="en-US"/>
        </w:rPr>
        <w:t>(Sáez-Sáez et al., 2020)</w:t>
      </w:r>
      <w:r w:rsidR="007E5EDF" w:rsidRPr="002A6BF2">
        <w:rPr>
          <w:lang w:val="en-US"/>
        </w:rPr>
        <w:fldChar w:fldCharType="end"/>
      </w:r>
      <w:r w:rsidR="007E5EDF" w:rsidRPr="002A6BF2">
        <w:rPr>
          <w:lang w:val="en-US"/>
        </w:rPr>
        <w:t xml:space="preserve"> and up to 2</w:t>
      </w:r>
      <w:r w:rsidR="00053FC1" w:rsidRPr="002A6BF2">
        <w:rPr>
          <w:lang w:val="en-US"/>
        </w:rPr>
        <w:t>2.5</w:t>
      </w:r>
      <w:r w:rsidR="007E5EDF" w:rsidRPr="002A6BF2">
        <w:rPr>
          <w:lang w:val="en-US"/>
        </w:rPr>
        <w:t xml:space="preserve"> g L</w:t>
      </w:r>
      <w:r w:rsidR="007E5EDF" w:rsidRPr="002A6BF2">
        <w:rPr>
          <w:vertAlign w:val="superscript"/>
          <w:lang w:val="en-US"/>
        </w:rPr>
        <w:t>-1</w:t>
      </w:r>
      <w:r w:rsidR="007E5EDF" w:rsidRPr="002A6BF2">
        <w:rPr>
          <w:lang w:val="en-US"/>
        </w:rPr>
        <w:t xml:space="preserve"> </w:t>
      </w:r>
      <w:r w:rsidR="00030E04" w:rsidRPr="002A6BF2">
        <w:rPr>
          <w:lang w:val="en-US"/>
        </w:rPr>
        <w:t xml:space="preserve">(98.7 mM) </w:t>
      </w:r>
      <w:r w:rsidR="007E5EDF" w:rsidRPr="002A6BF2">
        <w:rPr>
          <w:lang w:val="en-US"/>
        </w:rPr>
        <w:t xml:space="preserve">resveratrol </w:t>
      </w:r>
      <w:r w:rsidR="00053FC1" w:rsidRPr="002A6BF2">
        <w:rPr>
          <w:lang w:val="en-US"/>
        </w:rPr>
        <w:fldChar w:fldCharType="begin" w:fldLock="1"/>
      </w:r>
      <w:r w:rsidR="00746102" w:rsidRPr="002A6BF2">
        <w:rPr>
          <w:lang w:val="en-US"/>
        </w:rPr>
        <w:instrText>ADDIN CSL_CITATION {"citationItems":[{"id":"ITEM-1","itemData":{"DOI":"https://doi.org/10.1016/j.biortech.2022.128178","author":[{"dropping-particle":"","family":"Liu","given":"Mengsu","non-dropping-particle":"","parse-names":false,"suffix":""},{"dropping-particle":"","family":"Wang","given":"Chao","non-dropping-particle":"","parse-names":false,"suffix":""},{"dropping-particle":"","family":"Ren","given":"Xuefeng","non-dropping-particle":"","parse-names":false,"suffix":""},{"dropping-particle":"","family":"Gao","given":"Song","non-dropping-particle":"","parse-names":false,"suffix":""},{"dropping-particle":"","family":"Yu","given":"Shiqin","non-dropping-particle":"","parse-names":false,"suffix":""},{"dropping-particle":"","family":"Zhou","given":"Jingwen","non-dropping-particle":"","parse-names":false,"suffix":""}],"container-title":"Bioresource Technology","id":"ITEM-1","issue":"128178","issued":{"date-parts":[["2022"]]},"note":"no antibiotics needed because multicopy integration reliefed the auxotrophy for LEU and URA3","title":"Remodelling metabolism for high-level resveratrol production in &lt;i&gt;Yarrowia lipolytica&lt;/i&gt;","type":"article-journal","volume":"365"},"uris":["http://www.mendeley.com/documents/?uuid=80526319-6e3d-4d97-9b87-b36da34f8ca3"]}],"mendeley":{"formattedCitation":"(M. Liu et al., 2022)","manualFormatting":"(Liu et al., 2022)","plainTextFormattedCitation":"(M. Liu et al., 2022)","previouslyFormattedCitation":"(M. Liu et al., 2022)"},"properties":{"noteIndex":0},"schema":"https://github.com/citation-style-language/schema/raw/master/csl-citation.json"}</w:instrText>
      </w:r>
      <w:r w:rsidR="00053FC1" w:rsidRPr="002A6BF2">
        <w:rPr>
          <w:lang w:val="en-US"/>
        </w:rPr>
        <w:fldChar w:fldCharType="separate"/>
      </w:r>
      <w:r w:rsidR="00053FC1" w:rsidRPr="002A6BF2">
        <w:rPr>
          <w:noProof/>
          <w:lang w:val="en-US"/>
        </w:rPr>
        <w:t>(Liu et al., 2022)</w:t>
      </w:r>
      <w:r w:rsidR="00053FC1" w:rsidRPr="002A6BF2">
        <w:rPr>
          <w:lang w:val="en-US"/>
        </w:rPr>
        <w:fldChar w:fldCharType="end"/>
      </w:r>
      <w:r w:rsidR="007E5EDF" w:rsidRPr="002A6BF2">
        <w:rPr>
          <w:lang w:val="en-US"/>
        </w:rPr>
        <w:t>.</w:t>
      </w:r>
    </w:p>
    <w:p w14:paraId="753D02E3" w14:textId="56E25870" w:rsidR="00E95055" w:rsidRPr="002A6BF2" w:rsidRDefault="00E95055" w:rsidP="00B84A00">
      <w:pPr>
        <w:spacing w:line="276" w:lineRule="auto"/>
        <w:jc w:val="both"/>
        <w:rPr>
          <w:lang w:val="en-US"/>
        </w:rPr>
      </w:pPr>
      <w:r w:rsidRPr="002A6BF2">
        <w:rPr>
          <w:noProof/>
          <w:lang w:eastAsia="de-DE"/>
        </w:rPr>
        <w:drawing>
          <wp:inline distT="0" distB="0" distL="0" distR="0" wp14:anchorId="72A82114" wp14:editId="3CC394C2">
            <wp:extent cx="2883052" cy="235501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9605" cy="2360365"/>
                    </a:xfrm>
                    <a:prstGeom prst="rect">
                      <a:avLst/>
                    </a:prstGeom>
                    <a:noFill/>
                    <a:ln>
                      <a:noFill/>
                    </a:ln>
                  </pic:spPr>
                </pic:pic>
              </a:graphicData>
            </a:graphic>
          </wp:inline>
        </w:drawing>
      </w:r>
    </w:p>
    <w:p w14:paraId="5EFADD7C" w14:textId="6DA81B0A" w:rsidR="00E95055" w:rsidRPr="002A6BF2" w:rsidRDefault="00E95055" w:rsidP="00B84A00">
      <w:pPr>
        <w:spacing w:line="276" w:lineRule="auto"/>
        <w:jc w:val="both"/>
        <w:rPr>
          <w:lang w:val="en-US"/>
        </w:rPr>
      </w:pPr>
      <w:r w:rsidRPr="002A6BF2">
        <w:rPr>
          <w:lang w:val="en-US"/>
        </w:rPr>
        <w:t xml:space="preserve">Fig. 8 Titers of resveratrol and </w:t>
      </w:r>
      <w:r w:rsidRPr="002A6BF2">
        <w:rPr>
          <w:i/>
          <w:iCs/>
          <w:lang w:val="en-US"/>
        </w:rPr>
        <w:t>p</w:t>
      </w:r>
      <w:r w:rsidRPr="002A6BF2">
        <w:rPr>
          <w:lang w:val="en-US"/>
        </w:rPr>
        <w:t xml:space="preserve">-coumarate in </w:t>
      </w:r>
      <w:r w:rsidRPr="002A6BF2">
        <w:rPr>
          <w:i/>
          <w:iCs/>
          <w:lang w:val="en-US"/>
        </w:rPr>
        <w:t>de novo</w:t>
      </w:r>
      <w:r w:rsidRPr="002A6BF2">
        <w:rPr>
          <w:lang w:val="en-US"/>
        </w:rPr>
        <w:t xml:space="preserve"> </w:t>
      </w:r>
      <w:r w:rsidR="00A55369" w:rsidRPr="002A6BF2">
        <w:rPr>
          <w:lang w:val="en-US"/>
        </w:rPr>
        <w:t xml:space="preserve">production experiments and with supplementation of </w:t>
      </w:r>
      <w:r w:rsidRPr="002A6BF2">
        <w:rPr>
          <w:lang w:val="en-US"/>
        </w:rPr>
        <w:t xml:space="preserve">tyrosine (0.5 mM) or </w:t>
      </w:r>
      <w:r w:rsidRPr="002A6BF2">
        <w:rPr>
          <w:i/>
          <w:iCs/>
          <w:lang w:val="en-US"/>
        </w:rPr>
        <w:t>p</w:t>
      </w:r>
      <w:r w:rsidRPr="002A6BF2">
        <w:rPr>
          <w:lang w:val="en-US"/>
        </w:rPr>
        <w:t>-coumarate (0.5 mM). Cultivation</w:t>
      </w:r>
      <w:r w:rsidR="00A55369" w:rsidRPr="002A6BF2">
        <w:rPr>
          <w:lang w:val="en-US"/>
        </w:rPr>
        <w:t xml:space="preserve"> was performed</w:t>
      </w:r>
      <w:r w:rsidRPr="002A6BF2">
        <w:rPr>
          <w:lang w:val="en-US"/>
        </w:rPr>
        <w:t xml:space="preserve"> in MSM 30 mM glucose with 3x buffer in 1.5 mL square-well System Duetz plate, initial OD</w:t>
      </w:r>
      <w:r w:rsidRPr="002A6BF2">
        <w:rPr>
          <w:vertAlign w:val="subscript"/>
          <w:lang w:val="en-US"/>
        </w:rPr>
        <w:t>600</w:t>
      </w:r>
      <w:r w:rsidRPr="002A6BF2">
        <w:rPr>
          <w:lang w:val="en-US"/>
        </w:rPr>
        <w:t xml:space="preserve"> was 0.2, sampled after 24 h. </w:t>
      </w:r>
      <w:r w:rsidR="00F04FFD" w:rsidRPr="002A6BF2">
        <w:rPr>
          <w:lang w:val="en-US"/>
        </w:rPr>
        <w:t>Triangular symbols indicate i</w:t>
      </w:r>
      <w:r w:rsidR="00A55369" w:rsidRPr="002A6BF2">
        <w:rPr>
          <w:lang w:val="en-US"/>
        </w:rPr>
        <w:t xml:space="preserve">ndividual resveratrol titers </w:t>
      </w:r>
      <w:r w:rsidR="00F04FFD" w:rsidRPr="002A6BF2">
        <w:rPr>
          <w:lang w:val="en-US"/>
        </w:rPr>
        <w:t>of the replicates</w:t>
      </w:r>
      <w:r w:rsidR="00A55369" w:rsidRPr="002A6BF2">
        <w:rPr>
          <w:lang w:val="en-US"/>
        </w:rPr>
        <w:t xml:space="preserve">. </w:t>
      </w:r>
      <w:r w:rsidRPr="002A6BF2">
        <w:rPr>
          <w:lang w:val="en-US"/>
        </w:rPr>
        <w:t>Error bars represent the standard deviation (n=3) and * indicates p&lt;0.05 confidence interval (***, p</w:t>
      </w:r>
      <w:r w:rsidRPr="002A6BF2">
        <w:rPr>
          <w:rFonts w:cstheme="minorHAnsi"/>
          <w:lang w:val="en-US"/>
        </w:rPr>
        <w:t>≤</w:t>
      </w:r>
      <w:r w:rsidRPr="002A6BF2">
        <w:rPr>
          <w:lang w:val="en-US"/>
        </w:rPr>
        <w:t>0.001; ****, p</w:t>
      </w:r>
      <w:r w:rsidRPr="002A6BF2">
        <w:rPr>
          <w:rFonts w:cstheme="minorHAnsi"/>
          <w:lang w:val="en-US"/>
        </w:rPr>
        <w:t>≤</w:t>
      </w:r>
      <w:r w:rsidRPr="002A6BF2">
        <w:rPr>
          <w:lang w:val="en-US"/>
        </w:rPr>
        <w:t xml:space="preserve">0.0001) of two-way ANOVA analysis. Abbreviation: ns, not significant, MSM, mineral salt medium; tyr, tyrosine; coum, </w:t>
      </w:r>
      <w:r w:rsidRPr="002A6BF2">
        <w:rPr>
          <w:i/>
          <w:iCs/>
          <w:lang w:val="en-US"/>
        </w:rPr>
        <w:t>p</w:t>
      </w:r>
      <w:r w:rsidRPr="002A6BF2">
        <w:rPr>
          <w:lang w:val="en-US"/>
        </w:rPr>
        <w:t>-coumarate.</w:t>
      </w:r>
    </w:p>
    <w:p w14:paraId="4467A0F8" w14:textId="38ADEACF" w:rsidR="00E95055" w:rsidRPr="002A6BF2" w:rsidRDefault="00E95055" w:rsidP="00B84A00">
      <w:pPr>
        <w:spacing w:line="276" w:lineRule="auto"/>
        <w:jc w:val="both"/>
        <w:rPr>
          <w:lang w:val="en-US"/>
        </w:rPr>
      </w:pPr>
    </w:p>
    <w:p w14:paraId="223EFD7C" w14:textId="652248C4" w:rsidR="00F04A09" w:rsidRPr="002A6BF2" w:rsidRDefault="00240743" w:rsidP="00B84A00">
      <w:pPr>
        <w:spacing w:line="276" w:lineRule="auto"/>
        <w:jc w:val="both"/>
        <w:rPr>
          <w:lang w:val="en-US"/>
        </w:rPr>
      </w:pPr>
      <w:r w:rsidRPr="002A6BF2">
        <w:rPr>
          <w:lang w:val="en-US"/>
        </w:rPr>
        <w:lastRenderedPageBreak/>
        <w:t xml:space="preserve">Overall, </w:t>
      </w:r>
      <w:r w:rsidR="002F5CE9" w:rsidRPr="002A6BF2">
        <w:rPr>
          <w:lang w:val="en-US"/>
        </w:rPr>
        <w:t xml:space="preserve">this </w:t>
      </w:r>
      <w:r w:rsidR="00BC0538" w:rsidRPr="002A6BF2">
        <w:rPr>
          <w:lang w:val="en-US"/>
        </w:rPr>
        <w:t>experiment</w:t>
      </w:r>
      <w:r w:rsidRPr="002A6BF2">
        <w:rPr>
          <w:lang w:val="en-US"/>
        </w:rPr>
        <w:t xml:space="preserve"> highlight</w:t>
      </w:r>
      <w:r w:rsidR="002F5CE9" w:rsidRPr="002A6BF2">
        <w:rPr>
          <w:lang w:val="en-US"/>
        </w:rPr>
        <w:t>s</w:t>
      </w:r>
      <w:r w:rsidRPr="002A6BF2">
        <w:rPr>
          <w:lang w:val="en-US"/>
        </w:rPr>
        <w:t xml:space="preserve"> three aspects. First, </w:t>
      </w:r>
      <w:r w:rsidR="00BB5E47" w:rsidRPr="002A6BF2">
        <w:rPr>
          <w:lang w:val="en-US"/>
        </w:rPr>
        <w:t xml:space="preserve">even a relatively moderate shift of </w:t>
      </w:r>
      <w:r w:rsidR="008D75FF" w:rsidRPr="002A6BF2">
        <w:rPr>
          <w:lang w:val="en-US"/>
        </w:rPr>
        <w:t xml:space="preserve">carbon into </w:t>
      </w:r>
      <w:r w:rsidR="00632983" w:rsidRPr="002A6BF2">
        <w:rPr>
          <w:lang w:val="en-US"/>
        </w:rPr>
        <w:t xml:space="preserve">the </w:t>
      </w:r>
      <w:r w:rsidR="008D75FF" w:rsidRPr="002A6BF2">
        <w:rPr>
          <w:lang w:val="en-US"/>
        </w:rPr>
        <w:t xml:space="preserve">shikimate pathway </w:t>
      </w:r>
      <w:r w:rsidR="00BB5E47" w:rsidRPr="002A6BF2">
        <w:rPr>
          <w:lang w:val="en-US"/>
        </w:rPr>
        <w:t>by introduction of AroF-1</w:t>
      </w:r>
      <w:r w:rsidR="00BB5E47" w:rsidRPr="002A6BF2">
        <w:rPr>
          <w:vertAlign w:val="superscript"/>
          <w:lang w:val="en-US"/>
        </w:rPr>
        <w:t>P148L</w:t>
      </w:r>
      <w:r w:rsidR="00632983" w:rsidRPr="002A6BF2">
        <w:rPr>
          <w:lang w:val="en-US"/>
        </w:rPr>
        <w:t xml:space="preserve"> </w:t>
      </w:r>
      <w:r w:rsidRPr="002A6BF2">
        <w:rPr>
          <w:lang w:val="en-US"/>
        </w:rPr>
        <w:t>result</w:t>
      </w:r>
      <w:r w:rsidR="00632983" w:rsidRPr="002A6BF2">
        <w:rPr>
          <w:lang w:val="en-US"/>
        </w:rPr>
        <w:t>s</w:t>
      </w:r>
      <w:r w:rsidRPr="002A6BF2">
        <w:rPr>
          <w:lang w:val="en-US"/>
        </w:rPr>
        <w:t xml:space="preserve"> </w:t>
      </w:r>
      <w:r w:rsidR="008D75FF" w:rsidRPr="002A6BF2">
        <w:rPr>
          <w:lang w:val="en-US"/>
        </w:rPr>
        <w:t>in</w:t>
      </w:r>
      <w:r w:rsidRPr="002A6BF2">
        <w:rPr>
          <w:lang w:val="en-US"/>
        </w:rPr>
        <w:t xml:space="preserve"> reduced </w:t>
      </w:r>
      <w:r w:rsidR="00BB5E47" w:rsidRPr="002A6BF2">
        <w:rPr>
          <w:lang w:val="en-US"/>
        </w:rPr>
        <w:t>stilbenoid production</w:t>
      </w:r>
      <w:r w:rsidRPr="002A6BF2">
        <w:rPr>
          <w:lang w:val="en-US"/>
        </w:rPr>
        <w:t>. Second, using non-preferred CoA substrates by the used PKS III influences overall achievable product titers</w:t>
      </w:r>
      <w:r w:rsidR="008D75FF" w:rsidRPr="002A6BF2">
        <w:rPr>
          <w:lang w:val="en-US"/>
        </w:rPr>
        <w:t xml:space="preserve"> (Supplementary </w:t>
      </w:r>
      <w:r w:rsidR="00325010" w:rsidRPr="002A6BF2">
        <w:rPr>
          <w:lang w:val="en-US"/>
        </w:rPr>
        <w:t>Fig.</w:t>
      </w:r>
      <w:r w:rsidR="003A6F0C" w:rsidRPr="002A6BF2">
        <w:rPr>
          <w:lang w:val="en-US"/>
        </w:rPr>
        <w:t xml:space="preserve"> </w:t>
      </w:r>
      <w:r w:rsidR="008D75FF" w:rsidRPr="002A6BF2">
        <w:rPr>
          <w:lang w:val="en-US"/>
        </w:rPr>
        <w:t>S1</w:t>
      </w:r>
      <w:r w:rsidR="00E16CE2" w:rsidRPr="002A6BF2">
        <w:rPr>
          <w:lang w:val="en-US"/>
        </w:rPr>
        <w:t>7</w:t>
      </w:r>
      <w:r w:rsidR="008D75FF" w:rsidRPr="002A6BF2">
        <w:rPr>
          <w:lang w:val="en-US"/>
        </w:rPr>
        <w:t>)</w:t>
      </w:r>
      <w:r w:rsidRPr="002A6BF2">
        <w:rPr>
          <w:lang w:val="en-US"/>
        </w:rPr>
        <w:t xml:space="preserve">. </w:t>
      </w:r>
      <w:r w:rsidR="00632983" w:rsidRPr="002A6BF2">
        <w:rPr>
          <w:lang w:val="en-US"/>
        </w:rPr>
        <w:t>Given the difference in price and availability of the phenylpropanoids precursors and the stilbenes, a biotransformation approach is therefore likely the most economic option. T</w:t>
      </w:r>
      <w:r w:rsidRPr="002A6BF2">
        <w:rPr>
          <w:lang w:val="en-US"/>
        </w:rPr>
        <w:t>hird, the new malonyl-CoA platform strain GRC3Δ6MC-III can easily be equipped with different production modules to produce different polyketide products</w:t>
      </w:r>
      <w:r w:rsidR="008901BF" w:rsidRPr="002A6BF2">
        <w:rPr>
          <w:lang w:val="en-US"/>
        </w:rPr>
        <w:t xml:space="preserve"> (Supplementary S1</w:t>
      </w:r>
      <w:r w:rsidR="00E16CE2" w:rsidRPr="002A6BF2">
        <w:rPr>
          <w:lang w:val="en-US"/>
        </w:rPr>
        <w:t>9</w:t>
      </w:r>
      <w:r w:rsidR="008901BF" w:rsidRPr="002A6BF2">
        <w:rPr>
          <w:lang w:val="en-US"/>
        </w:rPr>
        <w:t>)</w:t>
      </w:r>
      <w:r w:rsidRPr="002A6BF2">
        <w:rPr>
          <w:lang w:val="en-US"/>
        </w:rPr>
        <w:t xml:space="preserve">. </w:t>
      </w:r>
    </w:p>
    <w:p w14:paraId="3EEB161A" w14:textId="67F398A0" w:rsidR="000F3122" w:rsidRPr="002A6BF2" w:rsidRDefault="000F3122" w:rsidP="00B84A00">
      <w:pPr>
        <w:spacing w:line="276" w:lineRule="auto"/>
        <w:rPr>
          <w:lang w:val="en-US"/>
        </w:rPr>
      </w:pPr>
    </w:p>
    <w:p w14:paraId="2CE2B8A0" w14:textId="2C84DB2F" w:rsidR="00D938AC" w:rsidRPr="002A6BF2" w:rsidRDefault="00D75D83" w:rsidP="00B84A00">
      <w:pPr>
        <w:pStyle w:val="berschrift1"/>
        <w:numPr>
          <w:ilvl w:val="0"/>
          <w:numId w:val="11"/>
        </w:numPr>
        <w:spacing w:line="276" w:lineRule="auto"/>
        <w:rPr>
          <w:lang w:val="en-US"/>
        </w:rPr>
      </w:pPr>
      <w:r w:rsidRPr="002A6BF2">
        <w:rPr>
          <w:lang w:val="en-US"/>
        </w:rPr>
        <w:t>Conclusion</w:t>
      </w:r>
    </w:p>
    <w:p w14:paraId="4D7A6507" w14:textId="14DD22FC" w:rsidR="00BD4590" w:rsidRPr="002A6BF2" w:rsidRDefault="00DD6499" w:rsidP="00B84A00">
      <w:pPr>
        <w:spacing w:line="276" w:lineRule="auto"/>
        <w:jc w:val="both"/>
        <w:rPr>
          <w:lang w:val="en-US"/>
        </w:rPr>
      </w:pPr>
      <w:r w:rsidRPr="002A6BF2">
        <w:rPr>
          <w:lang w:val="en-US"/>
        </w:rPr>
        <w:t>In this study</w:t>
      </w:r>
      <w:r w:rsidR="004B3A2F" w:rsidRPr="002A6BF2">
        <w:rPr>
          <w:lang w:val="en-US"/>
        </w:rPr>
        <w:t>,</w:t>
      </w:r>
      <w:r w:rsidRPr="002A6BF2">
        <w:rPr>
          <w:lang w:val="en-US"/>
        </w:rPr>
        <w:t xml:space="preserve"> a </w:t>
      </w:r>
      <w:r w:rsidR="00ED7EFB" w:rsidRPr="002A6BF2">
        <w:rPr>
          <w:lang w:val="en-US"/>
        </w:rPr>
        <w:t>genome-</w:t>
      </w:r>
      <w:r w:rsidRPr="002A6BF2">
        <w:rPr>
          <w:lang w:val="en-US"/>
        </w:rPr>
        <w:t xml:space="preserve">reduced </w:t>
      </w:r>
      <w:r w:rsidRPr="002A6BF2">
        <w:rPr>
          <w:i/>
          <w:lang w:val="en-US"/>
        </w:rPr>
        <w:t>P. taiwanensis</w:t>
      </w:r>
      <w:r w:rsidRPr="002A6BF2">
        <w:rPr>
          <w:lang w:val="en-US"/>
        </w:rPr>
        <w:t xml:space="preserve"> VLB120 </w:t>
      </w:r>
      <w:r w:rsidR="00BF1E17" w:rsidRPr="002A6BF2">
        <w:rPr>
          <w:lang w:val="en-US"/>
        </w:rPr>
        <w:t xml:space="preserve">strain with high </w:t>
      </w:r>
      <w:r w:rsidRPr="002A6BF2">
        <w:rPr>
          <w:lang w:val="en-US"/>
        </w:rPr>
        <w:t xml:space="preserve">tolerance </w:t>
      </w:r>
      <w:r w:rsidR="00ED7EFB" w:rsidRPr="002A6BF2">
        <w:rPr>
          <w:lang w:val="en-US"/>
        </w:rPr>
        <w:t xml:space="preserve">towards </w:t>
      </w:r>
      <w:r w:rsidRPr="002A6BF2">
        <w:rPr>
          <w:lang w:val="en-US"/>
        </w:rPr>
        <w:t>pinosylvin was engineered for</w:t>
      </w:r>
      <w:r w:rsidR="00BF1E17" w:rsidRPr="002A6BF2">
        <w:rPr>
          <w:lang w:val="en-US"/>
        </w:rPr>
        <w:t xml:space="preserve"> stilben</w:t>
      </w:r>
      <w:r w:rsidR="00D83463" w:rsidRPr="002A6BF2">
        <w:rPr>
          <w:lang w:val="en-US"/>
        </w:rPr>
        <w:t>oid</w:t>
      </w:r>
      <w:r w:rsidRPr="002A6BF2">
        <w:rPr>
          <w:lang w:val="en-US"/>
        </w:rPr>
        <w:t xml:space="preserve"> synthesis. </w:t>
      </w:r>
      <w:r w:rsidR="00B7095D" w:rsidRPr="002A6BF2">
        <w:rPr>
          <w:lang w:val="en-US"/>
        </w:rPr>
        <w:t xml:space="preserve">Elimination of the metabolic burden of </w:t>
      </w:r>
      <w:r w:rsidR="00B7095D" w:rsidRPr="002A6BF2">
        <w:rPr>
          <w:i/>
          <w:lang w:val="en-US"/>
        </w:rPr>
        <w:t xml:space="preserve">de novo </w:t>
      </w:r>
      <w:r w:rsidR="00B7095D" w:rsidRPr="002A6BF2">
        <w:rPr>
          <w:lang w:val="en-US"/>
        </w:rPr>
        <w:t xml:space="preserve">synthesis of aromatic precursors was </w:t>
      </w:r>
      <w:r w:rsidR="003E144A" w:rsidRPr="002A6BF2">
        <w:rPr>
          <w:lang w:val="en-US"/>
        </w:rPr>
        <w:t xml:space="preserve">beneficial </w:t>
      </w:r>
      <w:r w:rsidR="00B7095D" w:rsidRPr="002A6BF2">
        <w:rPr>
          <w:lang w:val="en-US"/>
        </w:rPr>
        <w:t>to achieving efficient production</w:t>
      </w:r>
      <w:r w:rsidR="00901E30" w:rsidRPr="002A6BF2">
        <w:rPr>
          <w:lang w:val="en-US"/>
        </w:rPr>
        <w:t>.</w:t>
      </w:r>
      <w:r w:rsidR="00792447" w:rsidRPr="002A6BF2">
        <w:rPr>
          <w:lang w:val="en-US"/>
        </w:rPr>
        <w:t xml:space="preserve"> </w:t>
      </w:r>
      <w:r w:rsidR="00E94498" w:rsidRPr="002A6BF2">
        <w:rPr>
          <w:lang w:val="en-US"/>
        </w:rPr>
        <w:t>M</w:t>
      </w:r>
      <w:r w:rsidR="00792447" w:rsidRPr="002A6BF2">
        <w:rPr>
          <w:lang w:val="en-US"/>
        </w:rPr>
        <w:t>alonyl-CoA platform strain</w:t>
      </w:r>
      <w:r w:rsidR="00E94498" w:rsidRPr="002A6BF2">
        <w:rPr>
          <w:lang w:val="en-US"/>
        </w:rPr>
        <w:t>s</w:t>
      </w:r>
      <w:r w:rsidR="00792447" w:rsidRPr="002A6BF2">
        <w:rPr>
          <w:lang w:val="en-US"/>
        </w:rPr>
        <w:t xml:space="preserve"> w</w:t>
      </w:r>
      <w:r w:rsidR="00E94498" w:rsidRPr="002A6BF2">
        <w:rPr>
          <w:lang w:val="en-US"/>
        </w:rPr>
        <w:t>ere</w:t>
      </w:r>
      <w:r w:rsidR="00792447" w:rsidRPr="002A6BF2">
        <w:rPr>
          <w:lang w:val="en-US"/>
        </w:rPr>
        <w:t xml:space="preserve"> developed using </w:t>
      </w:r>
      <w:r w:rsidR="00B7095D" w:rsidRPr="002A6BF2">
        <w:rPr>
          <w:lang w:val="en-US"/>
        </w:rPr>
        <w:t xml:space="preserve">flaviolin </w:t>
      </w:r>
      <w:r w:rsidR="003C4B2A" w:rsidRPr="002A6BF2">
        <w:rPr>
          <w:lang w:val="en-US"/>
        </w:rPr>
        <w:t xml:space="preserve">as reporter </w:t>
      </w:r>
      <w:r w:rsidR="00B7095D" w:rsidRPr="002A6BF2">
        <w:rPr>
          <w:lang w:val="en-US"/>
        </w:rPr>
        <w:t xml:space="preserve">and stilbenes as </w:t>
      </w:r>
      <w:r w:rsidR="003C4B2A" w:rsidRPr="002A6BF2">
        <w:rPr>
          <w:lang w:val="en-US"/>
        </w:rPr>
        <w:t xml:space="preserve">demonstrator </w:t>
      </w:r>
      <w:r w:rsidR="00901E30" w:rsidRPr="002A6BF2">
        <w:rPr>
          <w:lang w:val="en-US"/>
        </w:rPr>
        <w:t>products</w:t>
      </w:r>
      <w:r w:rsidR="00792447" w:rsidRPr="002A6BF2">
        <w:rPr>
          <w:lang w:val="en-US"/>
        </w:rPr>
        <w:t xml:space="preserve">. </w:t>
      </w:r>
      <w:r w:rsidR="00B7095D" w:rsidRPr="002A6BF2">
        <w:rPr>
          <w:lang w:val="en-US"/>
        </w:rPr>
        <w:t xml:space="preserve">Replacement of </w:t>
      </w:r>
      <w:r w:rsidR="00901E30" w:rsidRPr="002A6BF2">
        <w:rPr>
          <w:lang w:val="en-US"/>
        </w:rPr>
        <w:t>3-</w:t>
      </w:r>
      <w:r w:rsidR="00A45686" w:rsidRPr="002A6BF2">
        <w:rPr>
          <w:lang w:val="en-US"/>
        </w:rPr>
        <w:t>ket</w:t>
      </w:r>
      <w:r w:rsidR="00901E30" w:rsidRPr="002A6BF2">
        <w:rPr>
          <w:lang w:val="en-US"/>
        </w:rPr>
        <w:t xml:space="preserve">oacyl-ACP synthase II </w:t>
      </w:r>
      <w:r w:rsidR="00B7095D" w:rsidRPr="002A6BF2">
        <w:rPr>
          <w:lang w:val="en-US"/>
        </w:rPr>
        <w:t>(</w:t>
      </w:r>
      <w:r w:rsidR="00901E30" w:rsidRPr="002A6BF2">
        <w:rPr>
          <w:lang w:val="en-US"/>
        </w:rPr>
        <w:t>FabF</w:t>
      </w:r>
      <w:r w:rsidR="00B7095D" w:rsidRPr="002A6BF2">
        <w:rPr>
          <w:lang w:val="en-US"/>
        </w:rPr>
        <w:t>)</w:t>
      </w:r>
      <w:r w:rsidR="00901E30" w:rsidRPr="002A6BF2">
        <w:rPr>
          <w:lang w:val="en-US"/>
        </w:rPr>
        <w:t xml:space="preserve"> in native fatty acid metabolism </w:t>
      </w:r>
      <w:r w:rsidR="00792447" w:rsidRPr="002A6BF2">
        <w:rPr>
          <w:lang w:val="en-US"/>
        </w:rPr>
        <w:t xml:space="preserve">by </w:t>
      </w:r>
      <w:r w:rsidR="00B7095D" w:rsidRPr="002A6BF2">
        <w:rPr>
          <w:lang w:val="en-US"/>
        </w:rPr>
        <w:t xml:space="preserve">the heterologous </w:t>
      </w:r>
      <w:r w:rsidR="00792447" w:rsidRPr="002A6BF2">
        <w:rPr>
          <w:lang w:val="en-US"/>
        </w:rPr>
        <w:t xml:space="preserve">isoenzyme FabF-2 from </w:t>
      </w:r>
      <w:r w:rsidR="00792447" w:rsidRPr="002A6BF2">
        <w:rPr>
          <w:i/>
          <w:lang w:val="en-US"/>
        </w:rPr>
        <w:t>P. putida</w:t>
      </w:r>
      <w:r w:rsidR="00792447" w:rsidRPr="002A6BF2">
        <w:rPr>
          <w:lang w:val="en-US"/>
        </w:rPr>
        <w:t xml:space="preserve"> KT2440</w:t>
      </w:r>
      <w:r w:rsidR="00B7095D" w:rsidRPr="002A6BF2">
        <w:rPr>
          <w:lang w:val="en-US"/>
        </w:rPr>
        <w:t xml:space="preserve"> significantly increased</w:t>
      </w:r>
      <w:r w:rsidR="00792447" w:rsidRPr="002A6BF2">
        <w:rPr>
          <w:lang w:val="en-US"/>
        </w:rPr>
        <w:t xml:space="preserve"> flaviolin titers</w:t>
      </w:r>
      <w:r w:rsidR="00B7095D" w:rsidRPr="002A6BF2">
        <w:rPr>
          <w:lang w:val="en-US"/>
        </w:rPr>
        <w:t xml:space="preserve"> up to the point where </w:t>
      </w:r>
      <w:r w:rsidR="006217E2" w:rsidRPr="002A6BF2">
        <w:rPr>
          <w:lang w:val="en-US"/>
        </w:rPr>
        <w:t>m</w:t>
      </w:r>
      <w:r w:rsidR="00B7095D" w:rsidRPr="002A6BF2">
        <w:rPr>
          <w:lang w:val="en-US"/>
        </w:rPr>
        <w:t>alonyl-CoA availability was no longer limiting</w:t>
      </w:r>
      <w:r w:rsidR="003E144A" w:rsidRPr="002A6BF2">
        <w:rPr>
          <w:lang w:val="en-US"/>
        </w:rPr>
        <w:t xml:space="preserve"> for flaviolin synthesis</w:t>
      </w:r>
      <w:r w:rsidR="00B7095D" w:rsidRPr="002A6BF2">
        <w:rPr>
          <w:lang w:val="en-US"/>
        </w:rPr>
        <w:t xml:space="preserve">, likely by reducing the drain on </w:t>
      </w:r>
      <w:r w:rsidR="006217E2" w:rsidRPr="002A6BF2">
        <w:rPr>
          <w:lang w:val="en-US"/>
        </w:rPr>
        <w:t>m</w:t>
      </w:r>
      <w:r w:rsidR="00B7095D" w:rsidRPr="002A6BF2">
        <w:rPr>
          <w:lang w:val="en-US"/>
        </w:rPr>
        <w:t>alonyl-CoA imposed by fatty acid biosynthesis</w:t>
      </w:r>
      <w:r w:rsidR="00792447" w:rsidRPr="002A6BF2">
        <w:rPr>
          <w:lang w:val="en-US"/>
        </w:rPr>
        <w:t xml:space="preserve">. </w:t>
      </w:r>
      <w:r w:rsidR="00B7095D" w:rsidRPr="002A6BF2">
        <w:rPr>
          <w:lang w:val="en-US"/>
        </w:rPr>
        <w:t xml:space="preserve">The </w:t>
      </w:r>
      <w:r w:rsidR="007C6041" w:rsidRPr="002A6BF2">
        <w:rPr>
          <w:lang w:val="en-US"/>
        </w:rPr>
        <w:t>benefit of a</w:t>
      </w:r>
      <w:r w:rsidR="002E341D" w:rsidRPr="002A6BF2">
        <w:rPr>
          <w:lang w:val="en-US"/>
        </w:rPr>
        <w:t>dditional</w:t>
      </w:r>
      <w:r w:rsidR="00792447" w:rsidRPr="002A6BF2">
        <w:rPr>
          <w:lang w:val="en-US"/>
        </w:rPr>
        <w:t xml:space="preserve"> </w:t>
      </w:r>
      <w:r w:rsidR="003D2AC7" w:rsidRPr="002A6BF2">
        <w:rPr>
          <w:lang w:val="en-US"/>
        </w:rPr>
        <w:t>CgACC expression</w:t>
      </w:r>
      <w:r w:rsidR="003C4B2A" w:rsidRPr="002A6BF2">
        <w:rPr>
          <w:lang w:val="en-US"/>
        </w:rPr>
        <w:t xml:space="preserve"> </w:t>
      </w:r>
      <w:r w:rsidR="00632983" w:rsidRPr="002A6BF2">
        <w:rPr>
          <w:lang w:val="en-US"/>
        </w:rPr>
        <w:t xml:space="preserve">only </w:t>
      </w:r>
      <w:r w:rsidR="003C4B2A" w:rsidRPr="002A6BF2">
        <w:rPr>
          <w:lang w:val="en-US"/>
        </w:rPr>
        <w:t>became apparent for pinosylvin produc</w:t>
      </w:r>
      <w:r w:rsidR="003C4B2A" w:rsidRPr="002A6BF2">
        <w:rPr>
          <w:lang w:val="en-US"/>
        </w:rPr>
        <w:lastRenderedPageBreak/>
        <w:t>tion</w:t>
      </w:r>
      <w:r w:rsidR="007C6041" w:rsidRPr="002A6BF2">
        <w:rPr>
          <w:lang w:val="en-US"/>
        </w:rPr>
        <w:t>, likely due to the higher Km value of AhSTS compared to RppA</w:t>
      </w:r>
      <w:r w:rsidR="003D2AC7" w:rsidRPr="002A6BF2">
        <w:rPr>
          <w:lang w:val="en-US"/>
        </w:rPr>
        <w:t>.</w:t>
      </w:r>
      <w:r w:rsidR="00166C8D" w:rsidRPr="002A6BF2">
        <w:rPr>
          <w:lang w:val="en-US"/>
        </w:rPr>
        <w:t xml:space="preserve"> In general, this study confirms that the malonyl-CoA node is highly complex, and that engineering of increased malonyl-CoA availably requires a cumulative, multi-factorial approach.</w:t>
      </w:r>
      <w:r w:rsidR="003D2AC7" w:rsidRPr="002A6BF2">
        <w:rPr>
          <w:lang w:val="en-US"/>
        </w:rPr>
        <w:t xml:space="preserve"> </w:t>
      </w:r>
      <w:r w:rsidR="005D543D" w:rsidRPr="002A6BF2">
        <w:rPr>
          <w:lang w:val="en-US"/>
        </w:rPr>
        <w:t>T</w:t>
      </w:r>
      <w:r w:rsidR="00166C8D" w:rsidRPr="002A6BF2">
        <w:rPr>
          <w:lang w:val="en-US"/>
        </w:rPr>
        <w:t>his was achieved in t</w:t>
      </w:r>
      <w:r w:rsidR="005D543D" w:rsidRPr="002A6BF2">
        <w:rPr>
          <w:lang w:val="en-US"/>
        </w:rPr>
        <w:t xml:space="preserve">he engineered </w:t>
      </w:r>
      <w:r w:rsidR="005D543D" w:rsidRPr="002A6BF2">
        <w:rPr>
          <w:i/>
          <w:lang w:val="en-US"/>
        </w:rPr>
        <w:t xml:space="preserve">P. taiwanensis </w:t>
      </w:r>
      <w:r w:rsidR="00013209" w:rsidRPr="002A6BF2">
        <w:rPr>
          <w:lang w:val="en-US"/>
        </w:rPr>
        <w:t>GRC3Δ6</w:t>
      </w:r>
      <w:r w:rsidR="00975172" w:rsidRPr="002A6BF2">
        <w:rPr>
          <w:lang w:val="en-US"/>
        </w:rPr>
        <w:t xml:space="preserve">MC-III </w:t>
      </w:r>
      <w:r w:rsidR="005D543D" w:rsidRPr="002A6BF2">
        <w:rPr>
          <w:lang w:val="en-US"/>
        </w:rPr>
        <w:t>malonyl-CoA platform</w:t>
      </w:r>
      <w:r w:rsidR="00166C8D" w:rsidRPr="002A6BF2">
        <w:rPr>
          <w:lang w:val="en-US"/>
        </w:rPr>
        <w:t>, which</w:t>
      </w:r>
      <w:r w:rsidR="005D543D" w:rsidRPr="002A6BF2">
        <w:rPr>
          <w:lang w:val="en-US"/>
        </w:rPr>
        <w:t xml:space="preserve"> enabled efficient synthesis of </w:t>
      </w:r>
      <w:r w:rsidR="003C4B2A" w:rsidRPr="002A6BF2">
        <w:rPr>
          <w:lang w:val="en-US"/>
        </w:rPr>
        <w:t xml:space="preserve">both </w:t>
      </w:r>
      <w:r w:rsidR="005D543D" w:rsidRPr="002A6BF2">
        <w:rPr>
          <w:lang w:val="en-US"/>
        </w:rPr>
        <w:t xml:space="preserve">pinosylvin and </w:t>
      </w:r>
      <w:r w:rsidR="00975172" w:rsidRPr="002A6BF2">
        <w:rPr>
          <w:lang w:val="en-US"/>
        </w:rPr>
        <w:t>resveratrol. The strategies for increas</w:t>
      </w:r>
      <w:r w:rsidR="00632983" w:rsidRPr="002A6BF2">
        <w:rPr>
          <w:lang w:val="en-US"/>
        </w:rPr>
        <w:t>ing</w:t>
      </w:r>
      <w:r w:rsidR="00975172" w:rsidRPr="002A6BF2">
        <w:rPr>
          <w:lang w:val="en-US"/>
        </w:rPr>
        <w:t xml:space="preserve"> malonyl-CoA supply in </w:t>
      </w:r>
      <w:r w:rsidR="00975172" w:rsidRPr="002A6BF2">
        <w:rPr>
          <w:i/>
          <w:lang w:val="en-US"/>
        </w:rPr>
        <w:t>Pseudomonas</w:t>
      </w:r>
      <w:r w:rsidR="00975172" w:rsidRPr="002A6BF2">
        <w:rPr>
          <w:lang w:val="en-US"/>
        </w:rPr>
        <w:t xml:space="preserve"> </w:t>
      </w:r>
      <w:r w:rsidR="00BD4590" w:rsidRPr="002A6BF2">
        <w:rPr>
          <w:lang w:val="en-US"/>
        </w:rPr>
        <w:t>will</w:t>
      </w:r>
      <w:r w:rsidR="00975172" w:rsidRPr="002A6BF2">
        <w:rPr>
          <w:lang w:val="en-US"/>
        </w:rPr>
        <w:t xml:space="preserve"> be valuable for future </w:t>
      </w:r>
      <w:r w:rsidR="00BD4590" w:rsidRPr="002A6BF2">
        <w:rPr>
          <w:lang w:val="en-US"/>
        </w:rPr>
        <w:t xml:space="preserve">metabolic </w:t>
      </w:r>
      <w:r w:rsidR="00975172" w:rsidRPr="002A6BF2">
        <w:rPr>
          <w:lang w:val="en-US"/>
        </w:rPr>
        <w:t>engineerin</w:t>
      </w:r>
      <w:r w:rsidR="00BD4590" w:rsidRPr="002A6BF2">
        <w:rPr>
          <w:lang w:val="en-US"/>
        </w:rPr>
        <w:t>g approaches in related species</w:t>
      </w:r>
      <w:r w:rsidR="005D543D" w:rsidRPr="002A6BF2">
        <w:rPr>
          <w:lang w:val="en-US"/>
        </w:rPr>
        <w:t>,</w:t>
      </w:r>
      <w:r w:rsidR="00BD4590" w:rsidRPr="002A6BF2">
        <w:rPr>
          <w:lang w:val="en-US"/>
        </w:rPr>
        <w:t xml:space="preserve"> and </w:t>
      </w:r>
      <w:r w:rsidR="005D543D" w:rsidRPr="002A6BF2">
        <w:rPr>
          <w:lang w:val="en-US"/>
        </w:rPr>
        <w:t xml:space="preserve">the </w:t>
      </w:r>
      <w:r w:rsidR="000F0E33" w:rsidRPr="002A6BF2">
        <w:rPr>
          <w:i/>
          <w:lang w:val="en-US"/>
        </w:rPr>
        <w:t xml:space="preserve">P. taiwanensis </w:t>
      </w:r>
      <w:r w:rsidR="000F0E33" w:rsidRPr="002A6BF2">
        <w:rPr>
          <w:lang w:val="en-US"/>
        </w:rPr>
        <w:t xml:space="preserve">GRC3Δ6MC-III </w:t>
      </w:r>
      <w:r w:rsidR="005D543D" w:rsidRPr="002A6BF2">
        <w:rPr>
          <w:lang w:val="en-US"/>
        </w:rPr>
        <w:t xml:space="preserve">platform has a broad applicability for production </w:t>
      </w:r>
      <w:r w:rsidR="000F0E33" w:rsidRPr="002A6BF2">
        <w:rPr>
          <w:lang w:val="en-US"/>
        </w:rPr>
        <w:t xml:space="preserve">of </w:t>
      </w:r>
      <w:r w:rsidR="00BD4590" w:rsidRPr="002A6BF2">
        <w:rPr>
          <w:lang w:val="en-US"/>
        </w:rPr>
        <w:t>malonyl-</w:t>
      </w:r>
      <w:r w:rsidR="000E1EBD" w:rsidRPr="002A6BF2">
        <w:rPr>
          <w:lang w:val="en-US"/>
        </w:rPr>
        <w:t>CoA-</w:t>
      </w:r>
      <w:r w:rsidR="000F0E33" w:rsidRPr="002A6BF2">
        <w:rPr>
          <w:lang w:val="en-US"/>
        </w:rPr>
        <w:t>derived secondary metabolites.</w:t>
      </w:r>
    </w:p>
    <w:p w14:paraId="5482EE23" w14:textId="15B8D3BF" w:rsidR="00423F32" w:rsidRPr="002A6BF2" w:rsidRDefault="00423F32" w:rsidP="00B84A00">
      <w:pPr>
        <w:spacing w:line="276" w:lineRule="auto"/>
        <w:rPr>
          <w:lang w:val="en-US"/>
        </w:rPr>
      </w:pPr>
    </w:p>
    <w:p w14:paraId="19F0C4C4" w14:textId="243D24E7" w:rsidR="00423F32" w:rsidRPr="002A6BF2" w:rsidRDefault="00D454B2" w:rsidP="00B84A00">
      <w:pPr>
        <w:pStyle w:val="berschrift1"/>
        <w:spacing w:line="276" w:lineRule="auto"/>
        <w:rPr>
          <w:lang w:val="en-US"/>
        </w:rPr>
      </w:pPr>
      <w:r w:rsidRPr="002A6BF2">
        <w:rPr>
          <w:lang w:val="en-US"/>
        </w:rPr>
        <w:t>CRediT authorship contribution statement</w:t>
      </w:r>
      <w:r w:rsidR="00423F32" w:rsidRPr="002A6BF2">
        <w:rPr>
          <w:lang w:val="en-US"/>
        </w:rPr>
        <w:t>:</w:t>
      </w:r>
    </w:p>
    <w:p w14:paraId="50382F4D" w14:textId="06FC455D" w:rsidR="00CA5B86" w:rsidRPr="002A6BF2" w:rsidRDefault="00CA5B86" w:rsidP="00B84A00">
      <w:pPr>
        <w:spacing w:line="276" w:lineRule="auto"/>
        <w:rPr>
          <w:rFonts w:cs="Arial"/>
          <w:lang w:val="en-US"/>
        </w:rPr>
      </w:pPr>
      <w:r w:rsidRPr="002A6BF2">
        <w:rPr>
          <w:rFonts w:cs="Arial"/>
          <w:b/>
          <w:lang w:val="en-US"/>
        </w:rPr>
        <w:t>Tobias Schwanemann</w:t>
      </w:r>
      <w:r w:rsidRPr="002A6BF2">
        <w:rPr>
          <w:rFonts w:cs="Arial"/>
          <w:lang w:val="en-US"/>
        </w:rPr>
        <w:t xml:space="preserve">: </w:t>
      </w:r>
      <w:r w:rsidR="005D0617" w:rsidRPr="002A6BF2">
        <w:rPr>
          <w:lang w:val="en-US"/>
        </w:rPr>
        <w:t>Conceptualization, Methodology, Validation, Formal analysis, Investigation, Writing - Original Draft, Visualization, Funding acquisition</w:t>
      </w:r>
    </w:p>
    <w:p w14:paraId="03C7990F" w14:textId="1ADA499C" w:rsidR="00CA5B86" w:rsidRPr="002A6BF2" w:rsidRDefault="00CA5B86" w:rsidP="00B84A00">
      <w:pPr>
        <w:spacing w:line="276" w:lineRule="auto"/>
        <w:rPr>
          <w:rFonts w:cs="Arial"/>
          <w:lang w:val="en-US"/>
        </w:rPr>
      </w:pPr>
      <w:r w:rsidRPr="002A6BF2">
        <w:rPr>
          <w:rFonts w:cs="Arial"/>
          <w:b/>
          <w:lang w:val="en-US"/>
        </w:rPr>
        <w:t>Maike Otto</w:t>
      </w:r>
      <w:r w:rsidRPr="002A6BF2">
        <w:rPr>
          <w:rFonts w:cs="Arial"/>
          <w:lang w:val="en-US"/>
        </w:rPr>
        <w:t xml:space="preserve">: </w:t>
      </w:r>
      <w:r w:rsidR="005D0617" w:rsidRPr="002A6BF2">
        <w:rPr>
          <w:lang w:val="en-US"/>
        </w:rPr>
        <w:t>Methodology, Formal analysis, Investigation</w:t>
      </w:r>
    </w:p>
    <w:p w14:paraId="73562FBA" w14:textId="09DD2D8B" w:rsidR="00CA5B86" w:rsidRPr="002A6BF2" w:rsidRDefault="00CA5B86" w:rsidP="00B84A00">
      <w:pPr>
        <w:spacing w:line="276" w:lineRule="auto"/>
        <w:rPr>
          <w:rFonts w:cs="Arial"/>
          <w:lang w:val="en-US"/>
        </w:rPr>
      </w:pPr>
      <w:r w:rsidRPr="002A6BF2">
        <w:rPr>
          <w:rFonts w:cs="Arial"/>
          <w:b/>
          <w:lang w:val="en-US"/>
        </w:rPr>
        <w:t>Benedikt Wynands</w:t>
      </w:r>
      <w:r w:rsidRPr="002A6BF2">
        <w:rPr>
          <w:rFonts w:cs="Arial"/>
          <w:lang w:val="en-US"/>
        </w:rPr>
        <w:t xml:space="preserve">: </w:t>
      </w:r>
      <w:r w:rsidR="005D0617" w:rsidRPr="002A6BF2">
        <w:rPr>
          <w:lang w:val="en-US"/>
        </w:rPr>
        <w:t xml:space="preserve">Validation, Writing - Review &amp; Editing, </w:t>
      </w:r>
      <w:r w:rsidR="00C42825" w:rsidRPr="002A6BF2">
        <w:rPr>
          <w:lang w:val="en-US"/>
        </w:rPr>
        <w:t>Supervision</w:t>
      </w:r>
    </w:p>
    <w:p w14:paraId="73776838" w14:textId="325E5229" w:rsidR="00CA5B86" w:rsidRPr="002A6BF2" w:rsidRDefault="00CA5B86" w:rsidP="00B84A00">
      <w:pPr>
        <w:spacing w:line="276" w:lineRule="auto"/>
        <w:rPr>
          <w:rFonts w:cs="Arial"/>
          <w:lang w:val="en-US"/>
        </w:rPr>
      </w:pPr>
      <w:r w:rsidRPr="002A6BF2">
        <w:rPr>
          <w:rFonts w:cs="Arial"/>
          <w:b/>
          <w:lang w:val="en-US"/>
        </w:rPr>
        <w:t>Jan Marienhagen</w:t>
      </w:r>
      <w:r w:rsidRPr="002A6BF2">
        <w:rPr>
          <w:rFonts w:cs="Arial"/>
          <w:lang w:val="en-US"/>
        </w:rPr>
        <w:t xml:space="preserve">: </w:t>
      </w:r>
      <w:r w:rsidR="005D0617" w:rsidRPr="002A6BF2">
        <w:rPr>
          <w:lang w:val="en-US"/>
        </w:rPr>
        <w:t xml:space="preserve">Resources, </w:t>
      </w:r>
      <w:r w:rsidR="00C42825" w:rsidRPr="002A6BF2">
        <w:rPr>
          <w:lang w:val="en-US"/>
        </w:rPr>
        <w:t xml:space="preserve">Writing - review &amp; Editing, </w:t>
      </w:r>
      <w:r w:rsidR="005D0617" w:rsidRPr="002A6BF2">
        <w:rPr>
          <w:lang w:val="en-US"/>
        </w:rPr>
        <w:t>Supervision</w:t>
      </w:r>
    </w:p>
    <w:p w14:paraId="0E58C663" w14:textId="49139198" w:rsidR="00CA5B86" w:rsidRPr="002A6BF2" w:rsidRDefault="00CA5B86" w:rsidP="00B84A00">
      <w:pPr>
        <w:spacing w:line="276" w:lineRule="auto"/>
        <w:rPr>
          <w:rFonts w:cs="Arial"/>
          <w:lang w:val="en-US"/>
        </w:rPr>
      </w:pPr>
      <w:r w:rsidRPr="002A6BF2">
        <w:rPr>
          <w:rFonts w:cs="Arial"/>
          <w:b/>
          <w:lang w:val="en-US"/>
        </w:rPr>
        <w:t>Nick Wierckx</w:t>
      </w:r>
      <w:r w:rsidRPr="002A6BF2">
        <w:rPr>
          <w:rFonts w:cs="Arial"/>
          <w:lang w:val="en-US"/>
        </w:rPr>
        <w:t xml:space="preserve">: </w:t>
      </w:r>
      <w:r w:rsidR="005D0617" w:rsidRPr="002A6BF2">
        <w:rPr>
          <w:lang w:val="en-US"/>
        </w:rPr>
        <w:t>Conceptualization, Validation, Resources, Writing - Review &amp; Editing,</w:t>
      </w:r>
      <w:r w:rsidR="00C42825" w:rsidRPr="002A6BF2">
        <w:rPr>
          <w:lang w:val="en-US"/>
        </w:rPr>
        <w:t xml:space="preserve"> Supervision,</w:t>
      </w:r>
      <w:r w:rsidR="005D0617" w:rsidRPr="002A6BF2">
        <w:rPr>
          <w:lang w:val="en-US"/>
        </w:rPr>
        <w:t xml:space="preserve"> Funding acquisition, Project administration</w:t>
      </w:r>
    </w:p>
    <w:p w14:paraId="4EDDC59C" w14:textId="5620A63B" w:rsidR="00CA5B86" w:rsidRPr="002A6BF2" w:rsidRDefault="00CA5B86" w:rsidP="00B84A00">
      <w:pPr>
        <w:spacing w:line="276" w:lineRule="auto"/>
        <w:rPr>
          <w:lang w:val="en-US"/>
        </w:rPr>
      </w:pPr>
    </w:p>
    <w:p w14:paraId="0679A187" w14:textId="548AFD35" w:rsidR="00423F32" w:rsidRPr="002A6BF2" w:rsidRDefault="00423F32" w:rsidP="00B84A00">
      <w:pPr>
        <w:pStyle w:val="berschrift1"/>
        <w:spacing w:line="276" w:lineRule="auto"/>
        <w:rPr>
          <w:lang w:val="en-US"/>
        </w:rPr>
      </w:pPr>
      <w:r w:rsidRPr="002A6BF2">
        <w:rPr>
          <w:lang w:val="en-US"/>
        </w:rPr>
        <w:lastRenderedPageBreak/>
        <w:t>Declaration of competing interest</w:t>
      </w:r>
    </w:p>
    <w:p w14:paraId="3C3DC352" w14:textId="19A5F2F0" w:rsidR="00D938AC" w:rsidRPr="002A6BF2" w:rsidRDefault="005B3107" w:rsidP="00B84A00">
      <w:pPr>
        <w:spacing w:line="276" w:lineRule="auto"/>
        <w:jc w:val="both"/>
        <w:rPr>
          <w:lang w:val="en-US"/>
        </w:rPr>
      </w:pPr>
      <w:r w:rsidRPr="002A6BF2">
        <w:rPr>
          <w:lang w:val="en-US"/>
        </w:rPr>
        <w:t>The authors declare no competing interest.</w:t>
      </w:r>
    </w:p>
    <w:p w14:paraId="7CD812DF" w14:textId="77777777" w:rsidR="00A67436" w:rsidRPr="002A6BF2" w:rsidRDefault="00A67436" w:rsidP="00B84A00">
      <w:pPr>
        <w:spacing w:line="276" w:lineRule="auto"/>
        <w:rPr>
          <w:lang w:val="en-US"/>
        </w:rPr>
      </w:pPr>
    </w:p>
    <w:p w14:paraId="0F1639A5" w14:textId="1C0B696C" w:rsidR="00423F32" w:rsidRPr="002A6BF2" w:rsidRDefault="00423F32" w:rsidP="00B84A00">
      <w:pPr>
        <w:pStyle w:val="berschrift1"/>
        <w:spacing w:line="276" w:lineRule="auto"/>
        <w:rPr>
          <w:lang w:val="en-US"/>
        </w:rPr>
      </w:pPr>
      <w:r w:rsidRPr="002A6BF2">
        <w:rPr>
          <w:lang w:val="en-US"/>
        </w:rPr>
        <w:t>Funding</w:t>
      </w:r>
    </w:p>
    <w:p w14:paraId="12440308" w14:textId="74E4F086" w:rsidR="00423F32" w:rsidRPr="002A6BF2" w:rsidRDefault="00E746D4" w:rsidP="00B84A00">
      <w:pPr>
        <w:spacing w:line="276" w:lineRule="auto"/>
        <w:jc w:val="both"/>
        <w:rPr>
          <w:lang w:val="en-US"/>
        </w:rPr>
      </w:pPr>
      <w:r w:rsidRPr="002A6BF2">
        <w:rPr>
          <w:lang w:val="en-US"/>
        </w:rPr>
        <w:t xml:space="preserve">This work was supported by the </w:t>
      </w:r>
      <w:r w:rsidR="00B211DC" w:rsidRPr="002A6BF2">
        <w:rPr>
          <w:lang w:val="en-US"/>
        </w:rPr>
        <w:t>German Federal Environmental Foundation (DBU)</w:t>
      </w:r>
      <w:r w:rsidRPr="002A6BF2">
        <w:rPr>
          <w:lang w:val="en-US"/>
        </w:rPr>
        <w:t xml:space="preserve"> [</w:t>
      </w:r>
      <w:r w:rsidR="00B211DC" w:rsidRPr="002A6BF2">
        <w:rPr>
          <w:lang w:val="en-US"/>
        </w:rPr>
        <w:t>PhD Scholarship 20019/638-32</w:t>
      </w:r>
      <w:r w:rsidRPr="002A6BF2">
        <w:rPr>
          <w:lang w:val="en-US"/>
        </w:rPr>
        <w:t>]</w:t>
      </w:r>
      <w:r w:rsidR="00C42825" w:rsidRPr="002A6BF2">
        <w:rPr>
          <w:lang w:val="en-US"/>
        </w:rPr>
        <w:t xml:space="preserve">, and the </w:t>
      </w:r>
      <w:r w:rsidR="00B211DC" w:rsidRPr="002A6BF2">
        <w:rPr>
          <w:lang w:val="en-US"/>
        </w:rPr>
        <w:t>German Federal Ministry of Education and Research (BMBF) with the project NO-STRESS [FKZ 031B0852A]</w:t>
      </w:r>
      <w:r w:rsidR="00114D92" w:rsidRPr="002A6BF2">
        <w:rPr>
          <w:lang w:val="en-US"/>
        </w:rPr>
        <w:t>.</w:t>
      </w:r>
      <w:r w:rsidR="00B211DC" w:rsidRPr="002A6BF2">
        <w:rPr>
          <w:lang w:val="en-US"/>
        </w:rPr>
        <w:t xml:space="preserve"> </w:t>
      </w:r>
    </w:p>
    <w:p w14:paraId="331449D4" w14:textId="2D8F7EC9" w:rsidR="003A2788" w:rsidRPr="002A6BF2" w:rsidRDefault="003A2788" w:rsidP="00B84A00">
      <w:pPr>
        <w:spacing w:line="276" w:lineRule="auto"/>
        <w:rPr>
          <w:lang w:val="en-US"/>
        </w:rPr>
      </w:pPr>
      <w:r w:rsidRPr="002A6BF2">
        <w:rPr>
          <w:lang w:val="en-US"/>
        </w:rPr>
        <w:br w:type="page"/>
      </w:r>
    </w:p>
    <w:p w14:paraId="38E13713" w14:textId="2855D992" w:rsidR="00D938AC" w:rsidRPr="002A6BF2" w:rsidRDefault="002B1081" w:rsidP="00B84A00">
      <w:pPr>
        <w:pStyle w:val="berschrift1"/>
        <w:spacing w:line="276" w:lineRule="auto"/>
        <w:rPr>
          <w:lang w:val="en-US"/>
        </w:rPr>
      </w:pPr>
      <w:r w:rsidRPr="002A6BF2">
        <w:rPr>
          <w:lang w:val="en-US"/>
        </w:rPr>
        <w:lastRenderedPageBreak/>
        <w:t>References:</w:t>
      </w:r>
    </w:p>
    <w:p w14:paraId="22D198F8" w14:textId="6FB69CB3" w:rsidR="00857265" w:rsidRPr="00310E46" w:rsidRDefault="00A415BB" w:rsidP="00B84A00">
      <w:pPr>
        <w:widowControl w:val="0"/>
        <w:autoSpaceDE w:val="0"/>
        <w:autoSpaceDN w:val="0"/>
        <w:adjustRightInd w:val="0"/>
        <w:spacing w:line="276" w:lineRule="auto"/>
        <w:ind w:left="480" w:hanging="480"/>
        <w:rPr>
          <w:rFonts w:ascii="Calibri" w:hAnsi="Calibri" w:cs="Calibri"/>
          <w:noProof/>
          <w:szCs w:val="24"/>
          <w:lang w:val="en-US"/>
        </w:rPr>
      </w:pPr>
      <w:r w:rsidRPr="002A6BF2">
        <w:rPr>
          <w:lang w:val="en-US"/>
        </w:rPr>
        <w:fldChar w:fldCharType="begin" w:fldLock="1"/>
      </w:r>
      <w:r w:rsidRPr="002A6BF2">
        <w:rPr>
          <w:lang w:val="en-US"/>
        </w:rPr>
        <w:instrText xml:space="preserve">ADDIN Mendeley Bibliography CSL_BIBLIOGRAPHY </w:instrText>
      </w:r>
      <w:r w:rsidRPr="002A6BF2">
        <w:rPr>
          <w:lang w:val="en-US"/>
        </w:rPr>
        <w:fldChar w:fldCharType="separate"/>
      </w:r>
      <w:r w:rsidR="00857265" w:rsidRPr="00310E46">
        <w:rPr>
          <w:rFonts w:ascii="Calibri" w:hAnsi="Calibri" w:cs="Calibri"/>
          <w:noProof/>
          <w:szCs w:val="24"/>
          <w:lang w:val="en-US"/>
        </w:rPr>
        <w:t xml:space="preserve">Ackermann, Y. S., Li, W.-J., Op de Hipt, L., Niehoff, P.-J., Casey, W., Polen, T., Köbbing, S., Ballerstedt, H., Wynands, B., O’Connor, K., Blank, L. M., &amp; Wierckx, N. (2021). Engineering adipic acid metabolism in </w:t>
      </w:r>
      <w:r w:rsidR="00857265" w:rsidRPr="00310E46">
        <w:rPr>
          <w:rFonts w:ascii="Calibri" w:hAnsi="Calibri" w:cs="Calibri"/>
          <w:i/>
          <w:iCs/>
          <w:noProof/>
          <w:szCs w:val="24"/>
          <w:lang w:val="en-US"/>
        </w:rPr>
        <w:t>Pseudomonas putida</w:t>
      </w:r>
      <w:r w:rsidR="00857265" w:rsidRPr="00310E46">
        <w:rPr>
          <w:rFonts w:ascii="Calibri" w:hAnsi="Calibri" w:cs="Calibri"/>
          <w:noProof/>
          <w:szCs w:val="24"/>
          <w:lang w:val="en-US"/>
        </w:rPr>
        <w:t xml:space="preserve">. </w:t>
      </w:r>
      <w:r w:rsidR="00857265" w:rsidRPr="00310E46">
        <w:rPr>
          <w:rFonts w:ascii="Calibri" w:hAnsi="Calibri" w:cs="Calibri"/>
          <w:i/>
          <w:iCs/>
          <w:noProof/>
          <w:szCs w:val="24"/>
          <w:lang w:val="en-US"/>
        </w:rPr>
        <w:t>Metabolic Engineering</w:t>
      </w:r>
      <w:r w:rsidR="00857265" w:rsidRPr="00310E46">
        <w:rPr>
          <w:rFonts w:ascii="Calibri" w:hAnsi="Calibri" w:cs="Calibri"/>
          <w:noProof/>
          <w:szCs w:val="24"/>
          <w:lang w:val="en-US"/>
        </w:rPr>
        <w:t xml:space="preserve">, </w:t>
      </w:r>
      <w:r w:rsidR="00857265" w:rsidRPr="00310E46">
        <w:rPr>
          <w:rFonts w:ascii="Calibri" w:hAnsi="Calibri" w:cs="Calibri"/>
          <w:i/>
          <w:iCs/>
          <w:noProof/>
          <w:szCs w:val="24"/>
          <w:lang w:val="en-US"/>
        </w:rPr>
        <w:t>67</w:t>
      </w:r>
      <w:r w:rsidR="00857265" w:rsidRPr="00310E46">
        <w:rPr>
          <w:rFonts w:ascii="Calibri" w:hAnsi="Calibri" w:cs="Calibri"/>
          <w:noProof/>
          <w:szCs w:val="24"/>
          <w:lang w:val="en-US"/>
        </w:rPr>
        <w:t>(February), 29–40. https://doi.org/10.1016/j.ymben.2021.05.001</w:t>
      </w:r>
    </w:p>
    <w:p w14:paraId="5DE62A8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Beld, J., Sonnenschein, E. C., Vickery, C. R., Noel, J. P., &amp; Burkart, M. D. (2014). </w:t>
      </w:r>
      <w:r w:rsidRPr="00310E46">
        <w:rPr>
          <w:rFonts w:ascii="Calibri" w:hAnsi="Calibri" w:cs="Calibri"/>
          <w:noProof/>
          <w:szCs w:val="24"/>
          <w:lang w:val="en-US"/>
        </w:rPr>
        <w:t xml:space="preserve">The phosphopantetheinyl transferases: Catalysis of a post-translational modification crucial for life. </w:t>
      </w:r>
      <w:r w:rsidRPr="00310E46">
        <w:rPr>
          <w:rFonts w:ascii="Calibri" w:hAnsi="Calibri" w:cs="Calibri"/>
          <w:i/>
          <w:iCs/>
          <w:noProof/>
          <w:szCs w:val="24"/>
          <w:lang w:val="en-US"/>
        </w:rPr>
        <w:t>Natural Product Reports</w:t>
      </w:r>
      <w:r w:rsidRPr="00310E46">
        <w:rPr>
          <w:rFonts w:ascii="Calibri" w:hAnsi="Calibri" w:cs="Calibri"/>
          <w:noProof/>
          <w:szCs w:val="24"/>
          <w:lang w:val="en-US"/>
        </w:rPr>
        <w:t xml:space="preserve">, </w:t>
      </w:r>
      <w:r w:rsidRPr="00310E46">
        <w:rPr>
          <w:rFonts w:ascii="Calibri" w:hAnsi="Calibri" w:cs="Calibri"/>
          <w:i/>
          <w:iCs/>
          <w:noProof/>
          <w:szCs w:val="24"/>
          <w:lang w:val="en-US"/>
        </w:rPr>
        <w:t>31</w:t>
      </w:r>
      <w:r w:rsidRPr="00310E46">
        <w:rPr>
          <w:rFonts w:ascii="Calibri" w:hAnsi="Calibri" w:cs="Calibri"/>
          <w:noProof/>
          <w:szCs w:val="24"/>
          <w:lang w:val="en-US"/>
        </w:rPr>
        <w:t>(1), 61–108. https://doi.org/10.1039/c3np70054b</w:t>
      </w:r>
    </w:p>
    <w:p w14:paraId="61FB2F7F" w14:textId="77777777" w:rsidR="00857265" w:rsidRPr="00857265" w:rsidRDefault="00857265" w:rsidP="00B84A00">
      <w:pPr>
        <w:widowControl w:val="0"/>
        <w:autoSpaceDE w:val="0"/>
        <w:autoSpaceDN w:val="0"/>
        <w:adjustRightInd w:val="0"/>
        <w:spacing w:line="276" w:lineRule="auto"/>
        <w:ind w:left="480" w:hanging="480"/>
        <w:rPr>
          <w:rFonts w:ascii="Calibri" w:hAnsi="Calibri" w:cs="Calibri"/>
          <w:noProof/>
          <w:szCs w:val="24"/>
        </w:rPr>
      </w:pPr>
      <w:r w:rsidRPr="00310E46">
        <w:rPr>
          <w:rFonts w:ascii="Calibri" w:hAnsi="Calibri" w:cs="Calibri"/>
          <w:noProof/>
          <w:szCs w:val="24"/>
          <w:lang w:val="en-US"/>
        </w:rPr>
        <w:t xml:space="preserve">Bisht, R., Bhattacharyya, A., Shrivastava, A., &amp; Saxena, P. (2021). An Overview of the Medicinally Important Plant Type III PKS Derived Polyketides. </w:t>
      </w:r>
      <w:r w:rsidRPr="00857265">
        <w:rPr>
          <w:rFonts w:ascii="Calibri" w:hAnsi="Calibri" w:cs="Calibri"/>
          <w:i/>
          <w:iCs/>
          <w:noProof/>
          <w:szCs w:val="24"/>
        </w:rPr>
        <w:t>Frontiers in Plant Science</w:t>
      </w:r>
      <w:r w:rsidRPr="00857265">
        <w:rPr>
          <w:rFonts w:ascii="Calibri" w:hAnsi="Calibri" w:cs="Calibri"/>
          <w:noProof/>
          <w:szCs w:val="24"/>
        </w:rPr>
        <w:t xml:space="preserve">, </w:t>
      </w:r>
      <w:r w:rsidRPr="00857265">
        <w:rPr>
          <w:rFonts w:ascii="Calibri" w:hAnsi="Calibri" w:cs="Calibri"/>
          <w:i/>
          <w:iCs/>
          <w:noProof/>
          <w:szCs w:val="24"/>
        </w:rPr>
        <w:t>12</w:t>
      </w:r>
      <w:r w:rsidRPr="00857265">
        <w:rPr>
          <w:rFonts w:ascii="Calibri" w:hAnsi="Calibri" w:cs="Calibri"/>
          <w:noProof/>
          <w:szCs w:val="24"/>
        </w:rPr>
        <w:t>(October), 1–21. https://doi.org/10.3389/fpls.2021.746908</w:t>
      </w:r>
    </w:p>
    <w:p w14:paraId="7C5A17E4"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Bitzenhofer, L. N., Kruse, L., Thies, S., Wynands, B., Lechtenberg, T., Kozaeva, E., Thilo Wirth, N., Eberlein, C., Jaeger, K.-E., Iván Nikel, P., Heipieper, H. J., Wierckx, N., &amp; Loeschcke, A. (2021). </w:t>
      </w:r>
      <w:r w:rsidRPr="00310E46">
        <w:rPr>
          <w:rFonts w:ascii="Calibri" w:hAnsi="Calibri" w:cs="Calibri"/>
          <w:noProof/>
          <w:szCs w:val="24"/>
          <w:lang w:val="en-US"/>
        </w:rPr>
        <w:t xml:space="preserve">Towards robust </w:t>
      </w:r>
      <w:r w:rsidRPr="00310E46">
        <w:rPr>
          <w:rFonts w:ascii="Calibri" w:hAnsi="Calibri" w:cs="Calibri"/>
          <w:i/>
          <w:iCs/>
          <w:noProof/>
          <w:szCs w:val="24"/>
          <w:lang w:val="en-US"/>
        </w:rPr>
        <w:t>Pseudomonas</w:t>
      </w:r>
      <w:r w:rsidRPr="00310E46">
        <w:rPr>
          <w:rFonts w:ascii="Calibri" w:hAnsi="Calibri" w:cs="Calibri"/>
          <w:noProof/>
          <w:szCs w:val="24"/>
          <w:lang w:val="en-US"/>
        </w:rPr>
        <w:t xml:space="preserve"> cell factories to harbour novel biosynthetic pathways. </w:t>
      </w:r>
      <w:r w:rsidRPr="00310E46">
        <w:rPr>
          <w:rFonts w:ascii="Calibri" w:hAnsi="Calibri" w:cs="Calibri"/>
          <w:i/>
          <w:iCs/>
          <w:noProof/>
          <w:szCs w:val="24"/>
          <w:lang w:val="en-US"/>
        </w:rPr>
        <w:t>Essays in Biochemistry</w:t>
      </w:r>
      <w:r w:rsidRPr="00310E46">
        <w:rPr>
          <w:rFonts w:ascii="Calibri" w:hAnsi="Calibri" w:cs="Calibri"/>
          <w:noProof/>
          <w:szCs w:val="24"/>
          <w:lang w:val="en-US"/>
        </w:rPr>
        <w:t xml:space="preserve">, </w:t>
      </w:r>
      <w:r w:rsidRPr="00310E46">
        <w:rPr>
          <w:rFonts w:ascii="Calibri" w:hAnsi="Calibri" w:cs="Calibri"/>
          <w:i/>
          <w:iCs/>
          <w:noProof/>
          <w:szCs w:val="24"/>
          <w:lang w:val="en-US"/>
        </w:rPr>
        <w:t>in press</w:t>
      </w:r>
      <w:r w:rsidRPr="00310E46">
        <w:rPr>
          <w:rFonts w:ascii="Calibri" w:hAnsi="Calibri" w:cs="Calibri"/>
          <w:noProof/>
          <w:szCs w:val="24"/>
          <w:lang w:val="en-US"/>
        </w:rPr>
        <w:t>(May), 1–18. https://doi.org/https://doi.org/10.1042/EBC20200173</w:t>
      </w:r>
    </w:p>
    <w:p w14:paraId="2753703A"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Blombach, B., Grünberger, A., Centler, F., Wierckx, N., &amp; Schmid, J. (2021). </w:t>
      </w:r>
      <w:r w:rsidRPr="00310E46">
        <w:rPr>
          <w:rFonts w:ascii="Calibri" w:hAnsi="Calibri" w:cs="Calibri"/>
          <w:noProof/>
          <w:szCs w:val="24"/>
          <w:lang w:val="en-US"/>
        </w:rPr>
        <w:t xml:space="preserve">Exploiting unconventional prokaryotic hosts for industrial biotechnology. </w:t>
      </w:r>
      <w:r w:rsidRPr="00310E46">
        <w:rPr>
          <w:rFonts w:ascii="Calibri" w:hAnsi="Calibri" w:cs="Calibri"/>
          <w:i/>
          <w:iCs/>
          <w:noProof/>
          <w:szCs w:val="24"/>
          <w:lang w:val="en-US"/>
        </w:rPr>
        <w:t>Trends in Biotechnology</w:t>
      </w:r>
      <w:r w:rsidRPr="00310E46">
        <w:rPr>
          <w:rFonts w:ascii="Calibri" w:hAnsi="Calibri" w:cs="Calibri"/>
          <w:noProof/>
          <w:szCs w:val="24"/>
          <w:lang w:val="en-US"/>
        </w:rPr>
        <w:t>, 1–13. https://doi.org/10.1016/j.tibtech.2021.08.003</w:t>
      </w:r>
    </w:p>
    <w:p w14:paraId="47053836"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lastRenderedPageBreak/>
        <w:t xml:space="preserve">Braga, A., &amp; Faria, N. (2022). Biotechnological production of specialty aromatic and aromatic-derivative compounds. </w:t>
      </w:r>
      <w:r w:rsidRPr="00310E46">
        <w:rPr>
          <w:rFonts w:ascii="Calibri" w:hAnsi="Calibri" w:cs="Calibri"/>
          <w:i/>
          <w:iCs/>
          <w:noProof/>
          <w:szCs w:val="24"/>
          <w:lang w:val="en-US"/>
        </w:rPr>
        <w:t>World Journal of Microbiology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38</w:t>
      </w:r>
      <w:r w:rsidRPr="00310E46">
        <w:rPr>
          <w:rFonts w:ascii="Calibri" w:hAnsi="Calibri" w:cs="Calibri"/>
          <w:noProof/>
          <w:szCs w:val="24"/>
          <w:lang w:val="en-US"/>
        </w:rPr>
        <w:t>(5). https://doi.org/10.1007/s11274-022-03263-y</w:t>
      </w:r>
    </w:p>
    <w:p w14:paraId="2E4A52F9"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Braga, A., Oliveira, J., Silva, R., Ferreira, P., Rocha, I., Kallscheuer, N., Marienhagen, J., &amp; Faria, N. (2018). </w:t>
      </w:r>
      <w:r w:rsidRPr="00310E46">
        <w:rPr>
          <w:rFonts w:ascii="Calibri" w:hAnsi="Calibri" w:cs="Calibri"/>
          <w:noProof/>
          <w:szCs w:val="24"/>
          <w:lang w:val="en-US"/>
        </w:rPr>
        <w:t xml:space="preserve">Impact of the cultivation strategy on resveratrol production from glucose in engineered </w:t>
      </w:r>
      <w:r w:rsidRPr="00310E46">
        <w:rPr>
          <w:rFonts w:ascii="Calibri" w:hAnsi="Calibri" w:cs="Calibri"/>
          <w:i/>
          <w:iCs/>
          <w:noProof/>
          <w:szCs w:val="24"/>
          <w:lang w:val="en-US"/>
        </w:rPr>
        <w:t>Corynebacterium glutamicum</w:t>
      </w:r>
      <w:r w:rsidRPr="00310E46">
        <w:rPr>
          <w:rFonts w:ascii="Calibri" w:hAnsi="Calibri" w:cs="Calibri"/>
          <w:noProof/>
          <w:szCs w:val="24"/>
          <w:lang w:val="en-US"/>
        </w:rPr>
        <w:t xml:space="preserve">. </w:t>
      </w:r>
      <w:r w:rsidRPr="00310E46">
        <w:rPr>
          <w:rFonts w:ascii="Calibri" w:hAnsi="Calibri" w:cs="Calibri"/>
          <w:i/>
          <w:iCs/>
          <w:noProof/>
          <w:szCs w:val="24"/>
          <w:lang w:val="en-US"/>
        </w:rPr>
        <w:t>Journal of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265</w:t>
      </w:r>
      <w:r w:rsidRPr="00310E46">
        <w:rPr>
          <w:rFonts w:ascii="Calibri" w:hAnsi="Calibri" w:cs="Calibri"/>
          <w:noProof/>
          <w:szCs w:val="24"/>
          <w:lang w:val="en-US"/>
        </w:rPr>
        <w:t>(July 2017), 70–75. https://doi.org/10.1016/j.jbiotec.2017.11.006</w:t>
      </w:r>
    </w:p>
    <w:p w14:paraId="745DEEC0"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Chittori, S., Savithri, H. S., &amp; Murthy, M. R. N. (2011). Crystal structure of </w:t>
      </w:r>
      <w:r w:rsidRPr="00310E46">
        <w:rPr>
          <w:rFonts w:ascii="Calibri" w:hAnsi="Calibri" w:cs="Calibri"/>
          <w:i/>
          <w:iCs/>
          <w:noProof/>
          <w:szCs w:val="24"/>
          <w:lang w:val="en-US"/>
        </w:rPr>
        <w:t>Salmonella typhimurium</w:t>
      </w:r>
      <w:r w:rsidRPr="00310E46">
        <w:rPr>
          <w:rFonts w:ascii="Calibri" w:hAnsi="Calibri" w:cs="Calibri"/>
          <w:noProof/>
          <w:szCs w:val="24"/>
          <w:lang w:val="en-US"/>
        </w:rPr>
        <w:t xml:space="preserve"> 2-methylcitrate synthase: Insights on domain movement and substrate specificity. </w:t>
      </w:r>
      <w:r w:rsidRPr="00310E46">
        <w:rPr>
          <w:rFonts w:ascii="Calibri" w:hAnsi="Calibri" w:cs="Calibri"/>
          <w:i/>
          <w:iCs/>
          <w:noProof/>
          <w:szCs w:val="24"/>
          <w:lang w:val="en-US"/>
        </w:rPr>
        <w:t>Journal of Structural Biology</w:t>
      </w:r>
      <w:r w:rsidRPr="00310E46">
        <w:rPr>
          <w:rFonts w:ascii="Calibri" w:hAnsi="Calibri" w:cs="Calibri"/>
          <w:noProof/>
          <w:szCs w:val="24"/>
          <w:lang w:val="en-US"/>
        </w:rPr>
        <w:t xml:space="preserve">, </w:t>
      </w:r>
      <w:r w:rsidRPr="00310E46">
        <w:rPr>
          <w:rFonts w:ascii="Calibri" w:hAnsi="Calibri" w:cs="Calibri"/>
          <w:i/>
          <w:iCs/>
          <w:noProof/>
          <w:szCs w:val="24"/>
          <w:lang w:val="en-US"/>
        </w:rPr>
        <w:t>174</w:t>
      </w:r>
      <w:r w:rsidRPr="00310E46">
        <w:rPr>
          <w:rFonts w:ascii="Calibri" w:hAnsi="Calibri" w:cs="Calibri"/>
          <w:noProof/>
          <w:szCs w:val="24"/>
          <w:lang w:val="en-US"/>
        </w:rPr>
        <w:t>(1), 58–68. https://doi.org/10.1016/j.jsb.2010.10.008</w:t>
      </w:r>
    </w:p>
    <w:p w14:paraId="529D22DA"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Chomczynski, P., &amp; Rymaszewski, M. (2006). Alkaline polyethylene glycol-based method for direct PCR from bacteria, eukaryotic tissue samples, and whole blood. </w:t>
      </w:r>
      <w:r w:rsidRPr="00310E46">
        <w:rPr>
          <w:rFonts w:ascii="Calibri" w:hAnsi="Calibri" w:cs="Calibri"/>
          <w:i/>
          <w:iCs/>
          <w:noProof/>
          <w:szCs w:val="24"/>
          <w:lang w:val="en-US"/>
        </w:rPr>
        <w:t>BioTechniques</w:t>
      </w:r>
      <w:r w:rsidRPr="00310E46">
        <w:rPr>
          <w:rFonts w:ascii="Calibri" w:hAnsi="Calibri" w:cs="Calibri"/>
          <w:noProof/>
          <w:szCs w:val="24"/>
          <w:lang w:val="en-US"/>
        </w:rPr>
        <w:t xml:space="preserve">, </w:t>
      </w:r>
      <w:r w:rsidRPr="00310E46">
        <w:rPr>
          <w:rFonts w:ascii="Calibri" w:hAnsi="Calibri" w:cs="Calibri"/>
          <w:i/>
          <w:iCs/>
          <w:noProof/>
          <w:szCs w:val="24"/>
          <w:lang w:val="en-US"/>
        </w:rPr>
        <w:t>40</w:t>
      </w:r>
      <w:r w:rsidRPr="00310E46">
        <w:rPr>
          <w:rFonts w:ascii="Calibri" w:hAnsi="Calibri" w:cs="Calibri"/>
          <w:noProof/>
          <w:szCs w:val="24"/>
          <w:lang w:val="en-US"/>
        </w:rPr>
        <w:t>(4), 454–458. https://doi.org/10.2144/000112149</w:t>
      </w:r>
    </w:p>
    <w:p w14:paraId="714EDCA2"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Cochrane, F. C., Davin, L. B., &amp; Lewis, N. G. (2004). The </w:t>
      </w:r>
      <w:r w:rsidRPr="00310E46">
        <w:rPr>
          <w:rFonts w:ascii="Calibri" w:hAnsi="Calibri" w:cs="Calibri"/>
          <w:i/>
          <w:iCs/>
          <w:noProof/>
          <w:szCs w:val="24"/>
          <w:lang w:val="en-US"/>
        </w:rPr>
        <w:t>Arabidopsis</w:t>
      </w:r>
      <w:r w:rsidRPr="00310E46">
        <w:rPr>
          <w:rFonts w:ascii="Calibri" w:hAnsi="Calibri" w:cs="Calibri"/>
          <w:noProof/>
          <w:szCs w:val="24"/>
          <w:lang w:val="en-US"/>
        </w:rPr>
        <w:t xml:space="preserve"> phenylalanine ammonia lyase gene family: Kinetic characterization of the four PAL isoforms. </w:t>
      </w:r>
      <w:r w:rsidRPr="00310E46">
        <w:rPr>
          <w:rFonts w:ascii="Calibri" w:hAnsi="Calibri" w:cs="Calibri"/>
          <w:i/>
          <w:iCs/>
          <w:noProof/>
          <w:szCs w:val="24"/>
          <w:lang w:val="en-US"/>
        </w:rPr>
        <w:t>Phytochemistry</w:t>
      </w:r>
      <w:r w:rsidRPr="00310E46">
        <w:rPr>
          <w:rFonts w:ascii="Calibri" w:hAnsi="Calibri" w:cs="Calibri"/>
          <w:noProof/>
          <w:szCs w:val="24"/>
          <w:lang w:val="en-US"/>
        </w:rPr>
        <w:t xml:space="preserve">, </w:t>
      </w:r>
      <w:r w:rsidRPr="00310E46">
        <w:rPr>
          <w:rFonts w:ascii="Calibri" w:hAnsi="Calibri" w:cs="Calibri"/>
          <w:i/>
          <w:iCs/>
          <w:noProof/>
          <w:szCs w:val="24"/>
          <w:lang w:val="en-US"/>
        </w:rPr>
        <w:t>65</w:t>
      </w:r>
      <w:r w:rsidRPr="00310E46">
        <w:rPr>
          <w:rFonts w:ascii="Calibri" w:hAnsi="Calibri" w:cs="Calibri"/>
          <w:noProof/>
          <w:szCs w:val="24"/>
          <w:lang w:val="en-US"/>
        </w:rPr>
        <w:t>(11), 1557–1564. https://doi.org/10.1016/j.phytochem.2004.05.006</w:t>
      </w:r>
    </w:p>
    <w:p w14:paraId="79733214"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Coppens, L., &amp; Lavigne, R. (2020). SAPPHIRE: a neural network based classifier for </w:t>
      </w:r>
      <w:r w:rsidRPr="00857265">
        <w:rPr>
          <w:rFonts w:ascii="Calibri" w:hAnsi="Calibri" w:cs="Calibri"/>
          <w:noProof/>
          <w:szCs w:val="24"/>
        </w:rPr>
        <w:t>σ</w:t>
      </w:r>
      <w:r w:rsidRPr="00310E46">
        <w:rPr>
          <w:rFonts w:ascii="Calibri" w:hAnsi="Calibri" w:cs="Calibri"/>
          <w:noProof/>
          <w:szCs w:val="24"/>
          <w:lang w:val="en-US"/>
        </w:rPr>
        <w:t xml:space="preserve">70 promoter prediction in </w:t>
      </w:r>
      <w:r w:rsidRPr="00310E46">
        <w:rPr>
          <w:rFonts w:ascii="Calibri" w:hAnsi="Calibri" w:cs="Calibri"/>
          <w:i/>
          <w:iCs/>
          <w:noProof/>
          <w:szCs w:val="24"/>
          <w:lang w:val="en-US"/>
        </w:rPr>
        <w:t>Pseudomonas</w:t>
      </w:r>
      <w:r w:rsidRPr="00310E46">
        <w:rPr>
          <w:rFonts w:ascii="Calibri" w:hAnsi="Calibri" w:cs="Calibri"/>
          <w:noProof/>
          <w:szCs w:val="24"/>
          <w:lang w:val="en-US"/>
        </w:rPr>
        <w:t xml:space="preserve">. </w:t>
      </w:r>
      <w:r w:rsidRPr="00310E46">
        <w:rPr>
          <w:rFonts w:ascii="Calibri" w:hAnsi="Calibri" w:cs="Calibri"/>
          <w:i/>
          <w:iCs/>
          <w:noProof/>
          <w:szCs w:val="24"/>
          <w:lang w:val="en-US"/>
        </w:rPr>
        <w:t>BMC Bioinformatics</w:t>
      </w:r>
      <w:r w:rsidRPr="00310E46">
        <w:rPr>
          <w:rFonts w:ascii="Calibri" w:hAnsi="Calibri" w:cs="Calibri"/>
          <w:noProof/>
          <w:szCs w:val="24"/>
          <w:lang w:val="en-US"/>
        </w:rPr>
        <w:t xml:space="preserve">, </w:t>
      </w:r>
      <w:r w:rsidRPr="00310E46">
        <w:rPr>
          <w:rFonts w:ascii="Calibri" w:hAnsi="Calibri" w:cs="Calibri"/>
          <w:i/>
          <w:iCs/>
          <w:noProof/>
          <w:szCs w:val="24"/>
          <w:lang w:val="en-US"/>
        </w:rPr>
        <w:t>21</w:t>
      </w:r>
      <w:r w:rsidRPr="00310E46">
        <w:rPr>
          <w:rFonts w:ascii="Calibri" w:hAnsi="Calibri" w:cs="Calibri"/>
          <w:noProof/>
          <w:szCs w:val="24"/>
          <w:lang w:val="en-US"/>
        </w:rPr>
        <w:t>(1), 415. https://doi.org/10.1186/s12859-020-03730-z</w:t>
      </w:r>
    </w:p>
    <w:p w14:paraId="53551397"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lastRenderedPageBreak/>
        <w:t xml:space="preserve">Cronan, J. E., &amp; Thomas, J. (2009). Bacterial fatty acid synthesis and its relationships with polyketide synthetic pathways. In </w:t>
      </w:r>
      <w:r w:rsidRPr="00310E46">
        <w:rPr>
          <w:rFonts w:ascii="Calibri" w:hAnsi="Calibri" w:cs="Calibri"/>
          <w:i/>
          <w:iCs/>
          <w:noProof/>
          <w:szCs w:val="24"/>
          <w:lang w:val="en-US"/>
        </w:rPr>
        <w:t>Methods in Enzymology</w:t>
      </w:r>
      <w:r w:rsidRPr="00310E46">
        <w:rPr>
          <w:rFonts w:ascii="Calibri" w:hAnsi="Calibri" w:cs="Calibri"/>
          <w:noProof/>
          <w:szCs w:val="24"/>
          <w:lang w:val="en-US"/>
        </w:rPr>
        <w:t xml:space="preserve"> (1st ed., Vol. 459, Issue B). Elsevier Inc. https://doi.org/10.1016/S0076-6879(09)04617-5</w:t>
      </w:r>
    </w:p>
    <w:p w14:paraId="01DD581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Cui, P., Zhong, W., Qin, Y., Tao, F., Wang, W., &amp; Zhan, J. (2020). Characterization of two new aromatic amino acid lyases from actinomycetes for highly efficient production of </w:t>
      </w:r>
      <w:r w:rsidRPr="00310E46">
        <w:rPr>
          <w:rFonts w:ascii="Calibri" w:hAnsi="Calibri" w:cs="Calibri"/>
          <w:i/>
          <w:iCs/>
          <w:noProof/>
          <w:szCs w:val="24"/>
          <w:lang w:val="en-US"/>
        </w:rPr>
        <w:t>p</w:t>
      </w:r>
      <w:r w:rsidRPr="00310E46">
        <w:rPr>
          <w:rFonts w:ascii="Calibri" w:hAnsi="Calibri" w:cs="Calibri"/>
          <w:noProof/>
          <w:szCs w:val="24"/>
          <w:lang w:val="en-US"/>
        </w:rPr>
        <w:t xml:space="preserve">-coumaric acid. </w:t>
      </w:r>
      <w:r w:rsidRPr="00310E46">
        <w:rPr>
          <w:rFonts w:ascii="Calibri" w:hAnsi="Calibri" w:cs="Calibri"/>
          <w:i/>
          <w:iCs/>
          <w:noProof/>
          <w:szCs w:val="24"/>
          <w:lang w:val="en-US"/>
        </w:rPr>
        <w:t>Bioprocess and Biosystems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43</w:t>
      </w:r>
      <w:r w:rsidRPr="00310E46">
        <w:rPr>
          <w:rFonts w:ascii="Calibri" w:hAnsi="Calibri" w:cs="Calibri"/>
          <w:noProof/>
          <w:szCs w:val="24"/>
          <w:lang w:val="en-US"/>
        </w:rPr>
        <w:t>(7), 1287–1298. https://doi.org/10.1007/s00449-020-02325-5</w:t>
      </w:r>
    </w:p>
    <w:p w14:paraId="2389CBE4"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Damalas, S. G., Batianis, C., Martin-Pascual, M., de Lorenzo, V., &amp; Martins dos Santos, V. A. P. (2020). SEVA 3.1: enabling interoperability of DNA assembly among the SEVA, BioBricks and Type IIS restriction enzyme standards. </w:t>
      </w:r>
      <w:r w:rsidRPr="00310E46">
        <w:rPr>
          <w:rFonts w:ascii="Calibri" w:hAnsi="Calibri" w:cs="Calibri"/>
          <w:i/>
          <w:iCs/>
          <w:noProof/>
          <w:szCs w:val="24"/>
          <w:lang w:val="en-US"/>
        </w:rPr>
        <w:t>Microbial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0</w:t>
      </w:r>
      <w:r w:rsidRPr="00310E46">
        <w:rPr>
          <w:rFonts w:ascii="Calibri" w:hAnsi="Calibri" w:cs="Calibri"/>
          <w:noProof/>
          <w:szCs w:val="24"/>
          <w:lang w:val="en-US"/>
        </w:rPr>
        <w:t>, 1–14. https://doi.org/10.1111/1751-7915.13609</w:t>
      </w:r>
    </w:p>
    <w:p w14:paraId="785FB9A0"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Demling, P., von Campenhausen, M., Grütering, C., Tiso, T., Jupke, A., &amp; Blank, L. M. (2020). Selection of a recyclable in situ liquid-liquid extraction solvent for foam-free synthesis of rhamnolipids in a two-phase fermentation. </w:t>
      </w:r>
      <w:r w:rsidRPr="00310E46">
        <w:rPr>
          <w:rFonts w:ascii="Calibri" w:hAnsi="Calibri" w:cs="Calibri"/>
          <w:i/>
          <w:iCs/>
          <w:noProof/>
          <w:szCs w:val="24"/>
          <w:lang w:val="en-US"/>
        </w:rPr>
        <w:t>Green Chemistry</w:t>
      </w:r>
      <w:r w:rsidRPr="00310E46">
        <w:rPr>
          <w:rFonts w:ascii="Calibri" w:hAnsi="Calibri" w:cs="Calibri"/>
          <w:noProof/>
          <w:szCs w:val="24"/>
          <w:lang w:val="en-US"/>
        </w:rPr>
        <w:t xml:space="preserve">, </w:t>
      </w:r>
      <w:r w:rsidRPr="00310E46">
        <w:rPr>
          <w:rFonts w:ascii="Calibri" w:hAnsi="Calibri" w:cs="Calibri"/>
          <w:i/>
          <w:iCs/>
          <w:noProof/>
          <w:szCs w:val="24"/>
          <w:lang w:val="en-US"/>
        </w:rPr>
        <w:t>22</w:t>
      </w:r>
      <w:r w:rsidRPr="00310E46">
        <w:rPr>
          <w:rFonts w:ascii="Calibri" w:hAnsi="Calibri" w:cs="Calibri"/>
          <w:noProof/>
          <w:szCs w:val="24"/>
          <w:lang w:val="en-US"/>
        </w:rPr>
        <w:t>, 8495–8510. https://doi.org/10.1039/D0GC02885A</w:t>
      </w:r>
    </w:p>
    <w:p w14:paraId="0B613121" w14:textId="77777777" w:rsidR="00857265" w:rsidRPr="00857265" w:rsidRDefault="00857265" w:rsidP="00B84A00">
      <w:pPr>
        <w:widowControl w:val="0"/>
        <w:autoSpaceDE w:val="0"/>
        <w:autoSpaceDN w:val="0"/>
        <w:adjustRightInd w:val="0"/>
        <w:spacing w:line="276" w:lineRule="auto"/>
        <w:ind w:left="480" w:hanging="480"/>
        <w:rPr>
          <w:rFonts w:ascii="Calibri" w:hAnsi="Calibri" w:cs="Calibri"/>
          <w:noProof/>
          <w:szCs w:val="24"/>
        </w:rPr>
      </w:pPr>
      <w:r w:rsidRPr="00310E46">
        <w:rPr>
          <w:rFonts w:ascii="Calibri" w:hAnsi="Calibri" w:cs="Calibri"/>
          <w:noProof/>
          <w:szCs w:val="24"/>
          <w:lang w:val="en-US"/>
        </w:rPr>
        <w:t xml:space="preserve">Dolan, S. K., Wijaya, A., Kohlstedt, M., Gläser, L., Brear, P., Silva-Rocha, R., Wittmann, C., &amp; Welch, M. (2022). Systems-wide dissection of organic acid assimilation in </w:t>
      </w:r>
      <w:r w:rsidRPr="00310E46">
        <w:rPr>
          <w:rFonts w:ascii="Calibri" w:hAnsi="Calibri" w:cs="Calibri"/>
          <w:i/>
          <w:iCs/>
          <w:noProof/>
          <w:szCs w:val="24"/>
          <w:lang w:val="en-US"/>
        </w:rPr>
        <w:t>Pseudomonas aeruginosa</w:t>
      </w:r>
      <w:r w:rsidRPr="00310E46">
        <w:rPr>
          <w:rFonts w:ascii="Calibri" w:hAnsi="Calibri" w:cs="Calibri"/>
          <w:noProof/>
          <w:szCs w:val="24"/>
          <w:lang w:val="en-US"/>
        </w:rPr>
        <w:t xml:space="preserve"> reveals a novel path to underground metabolism. </w:t>
      </w:r>
      <w:r w:rsidRPr="00857265">
        <w:rPr>
          <w:rFonts w:ascii="Calibri" w:hAnsi="Calibri" w:cs="Calibri"/>
          <w:i/>
          <w:iCs/>
          <w:noProof/>
          <w:szCs w:val="24"/>
        </w:rPr>
        <w:t>MBio</w:t>
      </w:r>
      <w:r w:rsidRPr="00857265">
        <w:rPr>
          <w:rFonts w:ascii="Calibri" w:hAnsi="Calibri" w:cs="Calibri"/>
          <w:noProof/>
          <w:szCs w:val="24"/>
        </w:rPr>
        <w:t xml:space="preserve">, </w:t>
      </w:r>
      <w:r w:rsidRPr="00857265">
        <w:rPr>
          <w:rFonts w:ascii="Calibri" w:hAnsi="Calibri" w:cs="Calibri"/>
          <w:i/>
          <w:iCs/>
          <w:noProof/>
          <w:szCs w:val="24"/>
        </w:rPr>
        <w:t>13</w:t>
      </w:r>
      <w:r w:rsidRPr="00857265">
        <w:rPr>
          <w:rFonts w:ascii="Calibri" w:hAnsi="Calibri" w:cs="Calibri"/>
          <w:noProof/>
          <w:szCs w:val="24"/>
        </w:rPr>
        <w:t>(6). https://doi.org/https://doi.org/10.1128/mbio.02541-22</w:t>
      </w:r>
    </w:p>
    <w:p w14:paraId="2AA67829"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lastRenderedPageBreak/>
        <w:t xml:space="preserve">Dong, H., Ma, J., Chen, Q., Chen, B., Liang, L., Liao, Y., Song, Y., Wang, H., &amp; Cronan, J. E. (2021). </w:t>
      </w:r>
      <w:r w:rsidRPr="00310E46">
        <w:rPr>
          <w:rFonts w:ascii="Calibri" w:hAnsi="Calibri" w:cs="Calibri"/>
          <w:noProof/>
          <w:szCs w:val="24"/>
          <w:lang w:val="en-US"/>
        </w:rPr>
        <w:t xml:space="preserve">A cryptic long-chain 3-ketoacyl-ACP synthase in the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F1 unsaturated fatty acid synthesis pathway. </w:t>
      </w:r>
      <w:r w:rsidRPr="00310E46">
        <w:rPr>
          <w:rFonts w:ascii="Calibri" w:hAnsi="Calibri" w:cs="Calibri"/>
          <w:i/>
          <w:iCs/>
          <w:noProof/>
          <w:szCs w:val="24"/>
          <w:lang w:val="en-US"/>
        </w:rPr>
        <w:t>Journal of Biological Chemistry</w:t>
      </w:r>
      <w:r w:rsidRPr="00310E46">
        <w:rPr>
          <w:rFonts w:ascii="Calibri" w:hAnsi="Calibri" w:cs="Calibri"/>
          <w:noProof/>
          <w:szCs w:val="24"/>
          <w:lang w:val="en-US"/>
        </w:rPr>
        <w:t xml:space="preserve">, </w:t>
      </w:r>
      <w:r w:rsidRPr="00310E46">
        <w:rPr>
          <w:rFonts w:ascii="Calibri" w:hAnsi="Calibri" w:cs="Calibri"/>
          <w:i/>
          <w:iCs/>
          <w:noProof/>
          <w:szCs w:val="24"/>
          <w:lang w:val="en-US"/>
        </w:rPr>
        <w:t>297</w:t>
      </w:r>
      <w:r w:rsidRPr="00310E46">
        <w:rPr>
          <w:rFonts w:ascii="Calibri" w:hAnsi="Calibri" w:cs="Calibri"/>
          <w:noProof/>
          <w:szCs w:val="24"/>
          <w:lang w:val="en-US"/>
        </w:rPr>
        <w:t>(2), 100920. https://doi.org/10.1016/j.jbc.2021.100920</w:t>
      </w:r>
    </w:p>
    <w:p w14:paraId="4F5C871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Ebert, B. E., Kurth, F., Grund, M., Blank, L. M., &amp; Schmid, A. (2011). Response of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KT2440 to increased NADH and ATP demand. </w:t>
      </w:r>
      <w:r w:rsidRPr="00310E46">
        <w:rPr>
          <w:rFonts w:ascii="Calibri" w:hAnsi="Calibri" w:cs="Calibri"/>
          <w:i/>
          <w:iCs/>
          <w:noProof/>
          <w:szCs w:val="24"/>
          <w:lang w:val="en-US"/>
        </w:rPr>
        <w:t>Applied and 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77</w:t>
      </w:r>
      <w:r w:rsidRPr="00310E46">
        <w:rPr>
          <w:rFonts w:ascii="Calibri" w:hAnsi="Calibri" w:cs="Calibri"/>
          <w:noProof/>
          <w:szCs w:val="24"/>
          <w:lang w:val="en-US"/>
        </w:rPr>
        <w:t>(18), 6597–6605. https://doi.org/10.1128/AEM.05588-11</w:t>
      </w:r>
    </w:p>
    <w:p w14:paraId="2BB6B700"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Ewering, C., Heuser, F., Benölken, J. K., Brämer, C. O., &amp; Steinbüchel, A. (2006). Metabolic engineering of strains of </w:t>
      </w:r>
      <w:r w:rsidRPr="00310E46">
        <w:rPr>
          <w:rFonts w:ascii="Calibri" w:hAnsi="Calibri" w:cs="Calibri"/>
          <w:i/>
          <w:iCs/>
          <w:noProof/>
          <w:szCs w:val="24"/>
          <w:lang w:val="en-US"/>
        </w:rPr>
        <w:t>Ralstonia eutropha</w:t>
      </w:r>
      <w:r w:rsidRPr="00310E46">
        <w:rPr>
          <w:rFonts w:ascii="Calibri" w:hAnsi="Calibri" w:cs="Calibri"/>
          <w:noProof/>
          <w:szCs w:val="24"/>
          <w:lang w:val="en-US"/>
        </w:rPr>
        <w:t xml:space="preserve"> and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for biotechnological production of 2-methylcitric acid.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8</w:t>
      </w:r>
      <w:r w:rsidRPr="00310E46">
        <w:rPr>
          <w:rFonts w:ascii="Calibri" w:hAnsi="Calibri" w:cs="Calibri"/>
          <w:noProof/>
          <w:szCs w:val="24"/>
          <w:lang w:val="en-US"/>
        </w:rPr>
        <w:t>(6), 587–602. https://doi.org/10.1016/j.ymben.2006.05.007</w:t>
      </w:r>
    </w:p>
    <w:p w14:paraId="1B973F56"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Feng, C., Chen, J., Ye, W., Liao, K., Wang, Z., Song, X., &amp; Qiao, M. (2022). Synthetic Biology-Driven Microbial Production of Resveratrol: Advances and Perspectives. </w:t>
      </w:r>
      <w:r w:rsidRPr="00310E46">
        <w:rPr>
          <w:rFonts w:ascii="Calibri" w:hAnsi="Calibri" w:cs="Calibri"/>
          <w:i/>
          <w:iCs/>
          <w:noProof/>
          <w:szCs w:val="24"/>
          <w:lang w:val="en-US"/>
        </w:rPr>
        <w:t>Frontiers in Bioengineering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10</w:t>
      </w:r>
      <w:r w:rsidRPr="00310E46">
        <w:rPr>
          <w:rFonts w:ascii="Calibri" w:hAnsi="Calibri" w:cs="Calibri"/>
          <w:noProof/>
          <w:szCs w:val="24"/>
          <w:lang w:val="en-US"/>
        </w:rPr>
        <w:t>(January), 1–10. https://doi.org/10.3389/fbioe.2022.833920</w:t>
      </w:r>
    </w:p>
    <w:p w14:paraId="146592E6"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Funa, N., Ohnishi, Y., Fujli, I., Shibuya, M., Ebizuka, Y., &amp; Horinouchi, S. (1999). A new pathway for polyketide synthesis in microorganisms. </w:t>
      </w:r>
      <w:r w:rsidRPr="00310E46">
        <w:rPr>
          <w:rFonts w:ascii="Calibri" w:hAnsi="Calibri" w:cs="Calibri"/>
          <w:i/>
          <w:iCs/>
          <w:noProof/>
          <w:szCs w:val="24"/>
          <w:lang w:val="en-US"/>
        </w:rPr>
        <w:t>Nature</w:t>
      </w:r>
      <w:r w:rsidRPr="00310E46">
        <w:rPr>
          <w:rFonts w:ascii="Calibri" w:hAnsi="Calibri" w:cs="Calibri"/>
          <w:noProof/>
          <w:szCs w:val="24"/>
          <w:lang w:val="en-US"/>
        </w:rPr>
        <w:t xml:space="preserve">, </w:t>
      </w:r>
      <w:r w:rsidRPr="00310E46">
        <w:rPr>
          <w:rFonts w:ascii="Calibri" w:hAnsi="Calibri" w:cs="Calibri"/>
          <w:i/>
          <w:iCs/>
          <w:noProof/>
          <w:szCs w:val="24"/>
          <w:lang w:val="en-US"/>
        </w:rPr>
        <w:t>400</w:t>
      </w:r>
      <w:r w:rsidRPr="00310E46">
        <w:rPr>
          <w:rFonts w:ascii="Calibri" w:hAnsi="Calibri" w:cs="Calibri"/>
          <w:noProof/>
          <w:szCs w:val="24"/>
          <w:lang w:val="en-US"/>
        </w:rPr>
        <w:t>(6747), 897–899. https://doi.org/10.1038/23748</w:t>
      </w:r>
    </w:p>
    <w:p w14:paraId="17C12E11"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Gläser, L., Kuhl, M., Jovanovic, S., Fritz, M., Vögeli, B., Erb, T. J., Becker, J., &amp; Wittmann, C. (2020). </w:t>
      </w:r>
      <w:r w:rsidRPr="00310E46">
        <w:rPr>
          <w:rFonts w:ascii="Calibri" w:hAnsi="Calibri" w:cs="Calibri"/>
          <w:noProof/>
          <w:szCs w:val="24"/>
          <w:lang w:val="en-US"/>
        </w:rPr>
        <w:t xml:space="preserve">A common approach for absolute quantification of short chain CoA thioesters in prokaryotic and eukaryotic microbes. </w:t>
      </w:r>
      <w:r w:rsidRPr="00310E46">
        <w:rPr>
          <w:rFonts w:ascii="Calibri" w:hAnsi="Calibri" w:cs="Calibri"/>
          <w:i/>
          <w:iCs/>
          <w:noProof/>
          <w:szCs w:val="24"/>
          <w:lang w:val="en-US"/>
        </w:rPr>
        <w:lastRenderedPageBreak/>
        <w:t>Microbial Cell Factories</w:t>
      </w:r>
      <w:r w:rsidRPr="00310E46">
        <w:rPr>
          <w:rFonts w:ascii="Calibri" w:hAnsi="Calibri" w:cs="Calibri"/>
          <w:noProof/>
          <w:szCs w:val="24"/>
          <w:lang w:val="en-US"/>
        </w:rPr>
        <w:t xml:space="preserve">, </w:t>
      </w:r>
      <w:r w:rsidRPr="00310E46">
        <w:rPr>
          <w:rFonts w:ascii="Calibri" w:hAnsi="Calibri" w:cs="Calibri"/>
          <w:i/>
          <w:iCs/>
          <w:noProof/>
          <w:szCs w:val="24"/>
          <w:lang w:val="en-US"/>
        </w:rPr>
        <w:t>19</w:t>
      </w:r>
      <w:r w:rsidRPr="00310E46">
        <w:rPr>
          <w:rFonts w:ascii="Calibri" w:hAnsi="Calibri" w:cs="Calibri"/>
          <w:noProof/>
          <w:szCs w:val="24"/>
          <w:lang w:val="en-US"/>
        </w:rPr>
        <w:t>(1), 1–13. https://doi.org/10.1186/s12934-020-01413-1</w:t>
      </w:r>
    </w:p>
    <w:p w14:paraId="6910F19A"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Gross, F., Luniak, N., Perlova, O., Gaitatzis, N., Jenke-Kodama, H., Gerth, K., Gottschalk, D., Dittmann, E., &amp; Müller, R. (2006). Bacterial type III polyketide synthases: Phylogenetic analysis and potential for the production of novel secondary metabolites by heterologous expression in pseudomonads. </w:t>
      </w:r>
      <w:r w:rsidRPr="00310E46">
        <w:rPr>
          <w:rFonts w:ascii="Calibri" w:hAnsi="Calibri" w:cs="Calibri"/>
          <w:i/>
          <w:iCs/>
          <w:noProof/>
          <w:szCs w:val="24"/>
          <w:lang w:val="en-US"/>
        </w:rPr>
        <w:t>Archives of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185</w:t>
      </w:r>
      <w:r w:rsidRPr="00310E46">
        <w:rPr>
          <w:rFonts w:ascii="Calibri" w:hAnsi="Calibri" w:cs="Calibri"/>
          <w:noProof/>
          <w:szCs w:val="24"/>
          <w:lang w:val="en-US"/>
        </w:rPr>
        <w:t>(1), 28–38. https://doi.org/10.1007/s00203-005-0059-3</w:t>
      </w:r>
    </w:p>
    <w:p w14:paraId="4A11A05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Gurney, R., &amp; Thomas, C. M. (2011). Mupirocin: biosynthesis, special features and applications of an antibiotic from a Gram-negative bacterium. </w:t>
      </w:r>
      <w:r w:rsidRPr="00310E46">
        <w:rPr>
          <w:rFonts w:ascii="Calibri" w:hAnsi="Calibri" w:cs="Calibri"/>
          <w:i/>
          <w:iCs/>
          <w:noProof/>
          <w:szCs w:val="24"/>
          <w:lang w:val="en-US"/>
        </w:rPr>
        <w:t>Applied Microbiology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90</w:t>
      </w:r>
      <w:r w:rsidRPr="00310E46">
        <w:rPr>
          <w:rFonts w:ascii="Calibri" w:hAnsi="Calibri" w:cs="Calibri"/>
          <w:noProof/>
          <w:szCs w:val="24"/>
          <w:lang w:val="en-US"/>
        </w:rPr>
        <w:t>(1), 11–21. https://doi.org/10.1007/s00253-011-3128-3</w:t>
      </w:r>
    </w:p>
    <w:p w14:paraId="214061E7"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Hartmans, S., Smits, J. P., Van der Werf, M. J., Volkering, F., &amp; De Bont, J. A. M. (1989). Metabolism of Styrene Oxide and 2-Phenylethanol in the Styrene-Degrading </w:t>
      </w:r>
      <w:r w:rsidRPr="00310E46">
        <w:rPr>
          <w:rFonts w:ascii="Calibri" w:hAnsi="Calibri" w:cs="Calibri"/>
          <w:i/>
          <w:iCs/>
          <w:noProof/>
          <w:szCs w:val="24"/>
          <w:lang w:val="en-US"/>
        </w:rPr>
        <w:t>Xanthobacter</w:t>
      </w:r>
      <w:r w:rsidRPr="00310E46">
        <w:rPr>
          <w:rFonts w:ascii="Calibri" w:hAnsi="Calibri" w:cs="Calibri"/>
          <w:noProof/>
          <w:szCs w:val="24"/>
          <w:lang w:val="en-US"/>
        </w:rPr>
        <w:t xml:space="preserve"> Strain 124X. </w:t>
      </w:r>
      <w:r w:rsidRPr="00310E46">
        <w:rPr>
          <w:rFonts w:ascii="Calibri" w:hAnsi="Calibri" w:cs="Calibri"/>
          <w:i/>
          <w:iCs/>
          <w:noProof/>
          <w:szCs w:val="24"/>
          <w:lang w:val="en-US"/>
        </w:rPr>
        <w:t>Applied and 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55</w:t>
      </w:r>
      <w:r w:rsidRPr="00310E46">
        <w:rPr>
          <w:rFonts w:ascii="Calibri" w:hAnsi="Calibri" w:cs="Calibri"/>
          <w:noProof/>
          <w:szCs w:val="24"/>
          <w:lang w:val="en-US"/>
        </w:rPr>
        <w:t>(11), 2850–2855. https://doi.org/10.1128/aem.55.11.2850-2855.1989</w:t>
      </w:r>
    </w:p>
    <w:p w14:paraId="3DF894EA"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Heipieper, H. J., Neumann, G., Cornelissen, S., &amp; Meinhardt, F. (2007). Solvent-tolerant bacteria for biotransformations in two-phase fermentation systems. </w:t>
      </w:r>
      <w:r w:rsidRPr="00310E46">
        <w:rPr>
          <w:rFonts w:ascii="Calibri" w:hAnsi="Calibri" w:cs="Calibri"/>
          <w:i/>
          <w:iCs/>
          <w:noProof/>
          <w:szCs w:val="24"/>
          <w:lang w:val="en-US"/>
        </w:rPr>
        <w:t>Applied Microbiology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74</w:t>
      </w:r>
      <w:r w:rsidRPr="00310E46">
        <w:rPr>
          <w:rFonts w:ascii="Calibri" w:hAnsi="Calibri" w:cs="Calibri"/>
          <w:noProof/>
          <w:szCs w:val="24"/>
          <w:lang w:val="en-US"/>
        </w:rPr>
        <w:t>(5), 961–973. https://doi.org/10.1007/s00253-006-0833-4</w:t>
      </w:r>
    </w:p>
    <w:p w14:paraId="04759F1E"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Hu, Y., Zhang, C., Zou, L., Zheng, Z., &amp; Ouyang, J. (2022). Efficient biosynthesis of pinosylvin from lignin-derived cinnamic acid by metabolic engineering of </w:t>
      </w:r>
      <w:r w:rsidRPr="00310E46">
        <w:rPr>
          <w:rFonts w:ascii="Calibri" w:hAnsi="Calibri" w:cs="Calibri"/>
          <w:i/>
          <w:iCs/>
          <w:noProof/>
          <w:szCs w:val="24"/>
          <w:lang w:val="en-US"/>
        </w:rPr>
        <w:t>Escherichia coli</w:t>
      </w:r>
      <w:r w:rsidRPr="00310E46">
        <w:rPr>
          <w:rFonts w:ascii="Calibri" w:hAnsi="Calibri" w:cs="Calibri"/>
          <w:noProof/>
          <w:szCs w:val="24"/>
          <w:lang w:val="en-US"/>
        </w:rPr>
        <w:t xml:space="preserve">. </w:t>
      </w:r>
      <w:r w:rsidRPr="00310E46">
        <w:rPr>
          <w:rFonts w:ascii="Calibri" w:hAnsi="Calibri" w:cs="Calibri"/>
          <w:i/>
          <w:iCs/>
          <w:noProof/>
          <w:szCs w:val="24"/>
          <w:lang w:val="en-US"/>
        </w:rPr>
        <w:t xml:space="preserve">Biotechnology for Biofuels and </w:t>
      </w:r>
      <w:r w:rsidRPr="00310E46">
        <w:rPr>
          <w:rFonts w:ascii="Calibri" w:hAnsi="Calibri" w:cs="Calibri"/>
          <w:i/>
          <w:iCs/>
          <w:noProof/>
          <w:szCs w:val="24"/>
          <w:lang w:val="en-US"/>
        </w:rPr>
        <w:lastRenderedPageBreak/>
        <w:t>Bioproducts</w:t>
      </w:r>
      <w:r w:rsidRPr="00310E46">
        <w:rPr>
          <w:rFonts w:ascii="Calibri" w:hAnsi="Calibri" w:cs="Calibri"/>
          <w:noProof/>
          <w:szCs w:val="24"/>
          <w:lang w:val="en-US"/>
        </w:rPr>
        <w:t xml:space="preserve">, </w:t>
      </w:r>
      <w:r w:rsidRPr="00310E46">
        <w:rPr>
          <w:rFonts w:ascii="Calibri" w:hAnsi="Calibri" w:cs="Calibri"/>
          <w:i/>
          <w:iCs/>
          <w:noProof/>
          <w:szCs w:val="24"/>
          <w:lang w:val="en-US"/>
        </w:rPr>
        <w:t>15</w:t>
      </w:r>
      <w:r w:rsidRPr="00310E46">
        <w:rPr>
          <w:rFonts w:ascii="Calibri" w:hAnsi="Calibri" w:cs="Calibri"/>
          <w:noProof/>
          <w:szCs w:val="24"/>
          <w:lang w:val="en-US"/>
        </w:rPr>
        <w:t>(1), 1–12. https://doi.org/10.1186/s13068-022-02236-5</w:t>
      </w:r>
    </w:p>
    <w:p w14:paraId="2F65E7AA"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Incha, M. R., Thompson, M. G., Blake-Hedges, J. M., Liu, Y., Pearson, A. N., Schmidt, M., Gin, J. W., Petzold, C. J., Deutschbauer, A. M., &amp; Keasling, J. D. (2020). Leveraging host metabolism for bisdemethoxycurcumin production in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w:t>
      </w:r>
      <w:r w:rsidRPr="00310E46">
        <w:rPr>
          <w:rFonts w:ascii="Calibri" w:hAnsi="Calibri" w:cs="Calibri"/>
          <w:i/>
          <w:iCs/>
          <w:noProof/>
          <w:szCs w:val="24"/>
          <w:lang w:val="en-US"/>
        </w:rPr>
        <w:t>Metabolic Engineering Communications</w:t>
      </w:r>
      <w:r w:rsidRPr="00310E46">
        <w:rPr>
          <w:rFonts w:ascii="Calibri" w:hAnsi="Calibri" w:cs="Calibri"/>
          <w:noProof/>
          <w:szCs w:val="24"/>
          <w:lang w:val="en-US"/>
        </w:rPr>
        <w:t xml:space="preserve">, </w:t>
      </w:r>
      <w:r w:rsidRPr="00310E46">
        <w:rPr>
          <w:rFonts w:ascii="Calibri" w:hAnsi="Calibri" w:cs="Calibri"/>
          <w:i/>
          <w:iCs/>
          <w:noProof/>
          <w:szCs w:val="24"/>
          <w:lang w:val="en-US"/>
        </w:rPr>
        <w:t>10</w:t>
      </w:r>
      <w:r w:rsidRPr="00310E46">
        <w:rPr>
          <w:rFonts w:ascii="Calibri" w:hAnsi="Calibri" w:cs="Calibri"/>
          <w:noProof/>
          <w:szCs w:val="24"/>
          <w:lang w:val="en-US"/>
        </w:rPr>
        <w:t>(December 2019), e00119. https://doi.org/10.1016/j.mec.2019.e00119</w:t>
      </w:r>
    </w:p>
    <w:p w14:paraId="73752D36"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Isken, S., Derks, A., Wolffs, P. F. G., &amp; De Bont, J. A. M. (1999). </w:t>
      </w:r>
      <w:r w:rsidRPr="00310E46">
        <w:rPr>
          <w:rFonts w:ascii="Calibri" w:hAnsi="Calibri" w:cs="Calibri"/>
          <w:noProof/>
          <w:szCs w:val="24"/>
          <w:lang w:val="en-US"/>
        </w:rPr>
        <w:t xml:space="preserve">Effect of organic solvents on the yield of solvent-tolerant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S12. </w:t>
      </w:r>
      <w:r w:rsidRPr="00310E46">
        <w:rPr>
          <w:rFonts w:ascii="Calibri" w:hAnsi="Calibri" w:cs="Calibri"/>
          <w:i/>
          <w:iCs/>
          <w:noProof/>
          <w:szCs w:val="24"/>
          <w:lang w:val="en-US"/>
        </w:rPr>
        <w:t>Applied and 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65</w:t>
      </w:r>
      <w:r w:rsidRPr="00310E46">
        <w:rPr>
          <w:rFonts w:ascii="Calibri" w:hAnsi="Calibri" w:cs="Calibri"/>
          <w:noProof/>
          <w:szCs w:val="24"/>
          <w:lang w:val="en-US"/>
        </w:rPr>
        <w:t>(6), 2631–2635. https://doi.org/10.1128/aem.65.6.2631-2635.1999</w:t>
      </w:r>
    </w:p>
    <w:p w14:paraId="71546341"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Jeandet, P., Vannozzi, A., Sobarzo-Sánchez, E., Uddin, M. S., Bru, R., Martínez-Márquez, A., Clément, C., Cordelier, S., Manayi, A., Nabavi, S. F., Rasekhian, M., El-Saber Batiha, G., Khan, H., Morkunas, I., Belwal, T., Jiang, J., Koffas, M., &amp; Nabavi, S. M. (2021). Phytostilbenes as agrochemicals: biosynthesis, bioactivity, metabolic engineering and biotechnology. </w:t>
      </w:r>
      <w:r w:rsidRPr="00310E46">
        <w:rPr>
          <w:rFonts w:ascii="Calibri" w:hAnsi="Calibri" w:cs="Calibri"/>
          <w:i/>
          <w:iCs/>
          <w:noProof/>
          <w:szCs w:val="24"/>
          <w:lang w:val="en-US"/>
        </w:rPr>
        <w:t>Natural Product Reports</w:t>
      </w:r>
      <w:r w:rsidRPr="00310E46">
        <w:rPr>
          <w:rFonts w:ascii="Calibri" w:hAnsi="Calibri" w:cs="Calibri"/>
          <w:noProof/>
          <w:szCs w:val="24"/>
          <w:lang w:val="en-US"/>
        </w:rPr>
        <w:t xml:space="preserve">, </w:t>
      </w:r>
      <w:r w:rsidRPr="00310E46">
        <w:rPr>
          <w:rFonts w:ascii="Calibri" w:hAnsi="Calibri" w:cs="Calibri"/>
          <w:i/>
          <w:iCs/>
          <w:noProof/>
          <w:szCs w:val="24"/>
          <w:lang w:val="en-US"/>
        </w:rPr>
        <w:t>38</w:t>
      </w:r>
      <w:r w:rsidRPr="00310E46">
        <w:rPr>
          <w:rFonts w:ascii="Calibri" w:hAnsi="Calibri" w:cs="Calibri"/>
          <w:noProof/>
          <w:szCs w:val="24"/>
          <w:lang w:val="en-US"/>
        </w:rPr>
        <w:t>, 1282–1329. https://doi.org/10.1039/d0np00030b</w:t>
      </w:r>
    </w:p>
    <w:p w14:paraId="4D70B185"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Kallscheuer, N., Vogt, M., Stenzel, A., Gätgens, J., Bott, M., &amp; Marienhagen, J. (2016). </w:t>
      </w:r>
      <w:r w:rsidRPr="00310E46">
        <w:rPr>
          <w:rFonts w:ascii="Calibri" w:hAnsi="Calibri" w:cs="Calibri"/>
          <w:noProof/>
          <w:szCs w:val="24"/>
          <w:lang w:val="en-US"/>
        </w:rPr>
        <w:t xml:space="preserve">Construction of a </w:t>
      </w:r>
      <w:r w:rsidRPr="00310E46">
        <w:rPr>
          <w:rFonts w:ascii="Calibri" w:hAnsi="Calibri" w:cs="Calibri"/>
          <w:i/>
          <w:iCs/>
          <w:noProof/>
          <w:szCs w:val="24"/>
          <w:lang w:val="en-US"/>
        </w:rPr>
        <w:t>Corynebacterium glutamicum</w:t>
      </w:r>
      <w:r w:rsidRPr="00310E46">
        <w:rPr>
          <w:rFonts w:ascii="Calibri" w:hAnsi="Calibri" w:cs="Calibri"/>
          <w:noProof/>
          <w:szCs w:val="24"/>
          <w:lang w:val="en-US"/>
        </w:rPr>
        <w:t xml:space="preserve"> platform strain for the production of stilbenes and (2S)-flavanones.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38</w:t>
      </w:r>
      <w:r w:rsidRPr="00310E46">
        <w:rPr>
          <w:rFonts w:ascii="Calibri" w:hAnsi="Calibri" w:cs="Calibri"/>
          <w:noProof/>
          <w:szCs w:val="24"/>
          <w:lang w:val="en-US"/>
        </w:rPr>
        <w:t>, 47–55. https://doi.org/10.1016/j.ymben.2016.06.003</w:t>
      </w:r>
    </w:p>
    <w:p w14:paraId="77570D5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Kaneko, M., Ohnishi, Y., &amp; Horinouchi, S. (2003). Cinnamate:Coenzyme A Ligase from the Filamentous Bacterium </w:t>
      </w:r>
      <w:r w:rsidRPr="00310E46">
        <w:rPr>
          <w:rFonts w:ascii="Calibri" w:hAnsi="Calibri" w:cs="Calibri"/>
          <w:i/>
          <w:iCs/>
          <w:noProof/>
          <w:szCs w:val="24"/>
          <w:lang w:val="en-US"/>
        </w:rPr>
        <w:t>Streptomyces coelicolor</w:t>
      </w:r>
      <w:r w:rsidRPr="00310E46">
        <w:rPr>
          <w:rFonts w:ascii="Calibri" w:hAnsi="Calibri" w:cs="Calibri"/>
          <w:noProof/>
          <w:szCs w:val="24"/>
          <w:lang w:val="en-US"/>
        </w:rPr>
        <w:t xml:space="preserve"> A3(2). </w:t>
      </w:r>
      <w:r w:rsidRPr="00310E46">
        <w:rPr>
          <w:rFonts w:ascii="Calibri" w:hAnsi="Calibri" w:cs="Calibri"/>
          <w:i/>
          <w:iCs/>
          <w:noProof/>
          <w:szCs w:val="24"/>
          <w:lang w:val="en-US"/>
        </w:rPr>
        <w:lastRenderedPageBreak/>
        <w:t>Journal of Bacteriology</w:t>
      </w:r>
      <w:r w:rsidRPr="00310E46">
        <w:rPr>
          <w:rFonts w:ascii="Calibri" w:hAnsi="Calibri" w:cs="Calibri"/>
          <w:noProof/>
          <w:szCs w:val="24"/>
          <w:lang w:val="en-US"/>
        </w:rPr>
        <w:t xml:space="preserve">, </w:t>
      </w:r>
      <w:r w:rsidRPr="00310E46">
        <w:rPr>
          <w:rFonts w:ascii="Calibri" w:hAnsi="Calibri" w:cs="Calibri"/>
          <w:i/>
          <w:iCs/>
          <w:noProof/>
          <w:szCs w:val="24"/>
          <w:lang w:val="en-US"/>
        </w:rPr>
        <w:t>185</w:t>
      </w:r>
      <w:r w:rsidRPr="00310E46">
        <w:rPr>
          <w:rFonts w:ascii="Calibri" w:hAnsi="Calibri" w:cs="Calibri"/>
          <w:noProof/>
          <w:szCs w:val="24"/>
          <w:lang w:val="en-US"/>
        </w:rPr>
        <w:t>(1), 20–27. https://doi.org/10.1128/JB.185.1.20–27.2003</w:t>
      </w:r>
    </w:p>
    <w:p w14:paraId="61A87EA7"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Köhler, K. A. K., Blank, L. M., Frick, O., &amp; Schmid, A. (2015). D-Xylose assimilation via the Weimberg pathway by solvent-tolerant </w:t>
      </w:r>
      <w:r w:rsidRPr="00310E46">
        <w:rPr>
          <w:rFonts w:ascii="Calibri" w:hAnsi="Calibri" w:cs="Calibri"/>
          <w:i/>
          <w:iCs/>
          <w:noProof/>
          <w:szCs w:val="24"/>
          <w:lang w:val="en-US"/>
        </w:rPr>
        <w:t>Pseudomonas taiwanensis</w:t>
      </w:r>
      <w:r w:rsidRPr="00310E46">
        <w:rPr>
          <w:rFonts w:ascii="Calibri" w:hAnsi="Calibri" w:cs="Calibri"/>
          <w:noProof/>
          <w:szCs w:val="24"/>
          <w:lang w:val="en-US"/>
        </w:rPr>
        <w:t xml:space="preserve"> VLB120. </w:t>
      </w:r>
      <w:r w:rsidRPr="00310E46">
        <w:rPr>
          <w:rFonts w:ascii="Calibri" w:hAnsi="Calibri" w:cs="Calibri"/>
          <w:i/>
          <w:iCs/>
          <w:noProof/>
          <w:szCs w:val="24"/>
          <w:lang w:val="en-US"/>
        </w:rPr>
        <w:t>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17</w:t>
      </w:r>
      <w:r w:rsidRPr="00310E46">
        <w:rPr>
          <w:rFonts w:ascii="Calibri" w:hAnsi="Calibri" w:cs="Calibri"/>
          <w:noProof/>
          <w:szCs w:val="24"/>
          <w:lang w:val="en-US"/>
        </w:rPr>
        <w:t>(1), 156–170. https://doi.org/10.1111/1462-2920.12537</w:t>
      </w:r>
    </w:p>
    <w:p w14:paraId="180FACCE"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Kondakova, T., D’Heygère, F., Feuilloley, M. J., Orange, N., Heipieper, H. J., &amp; Duclairoir Poc, C. (2015). Glycerophospholipid synthesis and functions in </w:t>
      </w:r>
      <w:r w:rsidRPr="00310E46">
        <w:rPr>
          <w:rFonts w:ascii="Calibri" w:hAnsi="Calibri" w:cs="Calibri"/>
          <w:i/>
          <w:iCs/>
          <w:noProof/>
          <w:szCs w:val="24"/>
          <w:lang w:val="en-US"/>
        </w:rPr>
        <w:t>Pseudomonas</w:t>
      </w:r>
      <w:r w:rsidRPr="00310E46">
        <w:rPr>
          <w:rFonts w:ascii="Calibri" w:hAnsi="Calibri" w:cs="Calibri"/>
          <w:noProof/>
          <w:szCs w:val="24"/>
          <w:lang w:val="en-US"/>
        </w:rPr>
        <w:t xml:space="preserve">. </w:t>
      </w:r>
      <w:r w:rsidRPr="00310E46">
        <w:rPr>
          <w:rFonts w:ascii="Calibri" w:hAnsi="Calibri" w:cs="Calibri"/>
          <w:i/>
          <w:iCs/>
          <w:noProof/>
          <w:szCs w:val="24"/>
          <w:lang w:val="en-US"/>
        </w:rPr>
        <w:t>Chemistry and Physics of Lipids</w:t>
      </w:r>
      <w:r w:rsidRPr="00310E46">
        <w:rPr>
          <w:rFonts w:ascii="Calibri" w:hAnsi="Calibri" w:cs="Calibri"/>
          <w:noProof/>
          <w:szCs w:val="24"/>
          <w:lang w:val="en-US"/>
        </w:rPr>
        <w:t xml:space="preserve">, </w:t>
      </w:r>
      <w:r w:rsidRPr="00310E46">
        <w:rPr>
          <w:rFonts w:ascii="Calibri" w:hAnsi="Calibri" w:cs="Calibri"/>
          <w:i/>
          <w:iCs/>
          <w:noProof/>
          <w:szCs w:val="24"/>
          <w:lang w:val="en-US"/>
        </w:rPr>
        <w:t>190</w:t>
      </w:r>
      <w:r w:rsidRPr="00310E46">
        <w:rPr>
          <w:rFonts w:ascii="Calibri" w:hAnsi="Calibri" w:cs="Calibri"/>
          <w:noProof/>
          <w:szCs w:val="24"/>
          <w:lang w:val="en-US"/>
        </w:rPr>
        <w:t>, 27–42. https://doi.org/10.1016/j.chemphyslip.2015.06.006</w:t>
      </w:r>
    </w:p>
    <w:p w14:paraId="2C651009"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Kozaeva, E., Volkova, S., Matos, M. R. A., Mezzina, M. P., Wulff, T., Volke, D. C., Nielsen, L. K., &amp; Nikel, P. I. (2021). </w:t>
      </w:r>
      <w:r w:rsidRPr="00310E46">
        <w:rPr>
          <w:rFonts w:ascii="Calibri" w:hAnsi="Calibri" w:cs="Calibri"/>
          <w:noProof/>
          <w:szCs w:val="24"/>
          <w:lang w:val="en-US"/>
        </w:rPr>
        <w:t xml:space="preserve">Model-guided dynamic control of essential metabolic nodes boosts acetyl-coenzyme A–dependent bioproduction in rewired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67</w:t>
      </w:r>
      <w:r w:rsidRPr="00310E46">
        <w:rPr>
          <w:rFonts w:ascii="Calibri" w:hAnsi="Calibri" w:cs="Calibri"/>
          <w:noProof/>
          <w:szCs w:val="24"/>
          <w:lang w:val="en-US"/>
        </w:rPr>
        <w:t>, 373–386. https://doi.org/10.1016/j.ymben.2021.07.014</w:t>
      </w:r>
    </w:p>
    <w:p w14:paraId="3C2501C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Kuatsjah, E., Johnson, C. W., Salvachúa, D., Werner, A. Z., Zahn, M., Szostkiewicz, C. J., Singer, C. A., Dominick, G., Okekeogbu, I., Haugen, S. J., Woodworth, S. P., Ramirez, K. J., Giannone, R. J., Hettich, R. L., McGeehan, J. E., &amp; Beckham, G. T. (2022). Debottlenecking 4-hydroxybenzoate hydroxylation in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KT2440 improves muconate productivity from </w:t>
      </w:r>
      <w:r w:rsidRPr="00310E46">
        <w:rPr>
          <w:rFonts w:ascii="Calibri" w:hAnsi="Calibri" w:cs="Calibri"/>
          <w:i/>
          <w:iCs/>
          <w:noProof/>
          <w:szCs w:val="24"/>
          <w:lang w:val="en-US"/>
        </w:rPr>
        <w:t>p</w:t>
      </w:r>
      <w:r w:rsidRPr="00310E46">
        <w:rPr>
          <w:rFonts w:ascii="Calibri" w:hAnsi="Calibri" w:cs="Calibri"/>
          <w:noProof/>
          <w:szCs w:val="24"/>
          <w:lang w:val="en-US"/>
        </w:rPr>
        <w:t xml:space="preserve">-coumarate.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70</w:t>
      </w:r>
      <w:r w:rsidRPr="00310E46">
        <w:rPr>
          <w:rFonts w:ascii="Calibri" w:hAnsi="Calibri" w:cs="Calibri"/>
          <w:noProof/>
          <w:szCs w:val="24"/>
          <w:lang w:val="en-US"/>
        </w:rPr>
        <w:t>, 31–42. https://doi.org/https://doi.org/10.1016/j.ymben.2021.12.010</w:t>
      </w:r>
    </w:p>
    <w:p w14:paraId="72C15D2B"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Leonard, E., Lim, K. H., Saw, P. N., &amp; Koffas, M. A. G. (2007). Engineering central metabolic pathways for high-level flavonoid production in </w:t>
      </w:r>
      <w:r w:rsidRPr="00310E46">
        <w:rPr>
          <w:rFonts w:ascii="Calibri" w:hAnsi="Calibri" w:cs="Calibri"/>
          <w:i/>
          <w:iCs/>
          <w:noProof/>
          <w:szCs w:val="24"/>
          <w:lang w:val="en-US"/>
        </w:rPr>
        <w:lastRenderedPageBreak/>
        <w:t>Escherichia coli</w:t>
      </w:r>
      <w:r w:rsidRPr="00310E46">
        <w:rPr>
          <w:rFonts w:ascii="Calibri" w:hAnsi="Calibri" w:cs="Calibri"/>
          <w:noProof/>
          <w:szCs w:val="24"/>
          <w:lang w:val="en-US"/>
        </w:rPr>
        <w:t xml:space="preserve">. </w:t>
      </w:r>
      <w:r w:rsidRPr="00310E46">
        <w:rPr>
          <w:rFonts w:ascii="Calibri" w:hAnsi="Calibri" w:cs="Calibri"/>
          <w:i/>
          <w:iCs/>
          <w:noProof/>
          <w:szCs w:val="24"/>
          <w:lang w:val="en-US"/>
        </w:rPr>
        <w:t>Applied and 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73</w:t>
      </w:r>
      <w:r w:rsidRPr="00310E46">
        <w:rPr>
          <w:rFonts w:ascii="Calibri" w:hAnsi="Calibri" w:cs="Calibri"/>
          <w:noProof/>
          <w:szCs w:val="24"/>
          <w:lang w:val="en-US"/>
        </w:rPr>
        <w:t>(12), 3877–3886. https://doi.org/10.1128/AEM.00200-07</w:t>
      </w:r>
    </w:p>
    <w:p w14:paraId="7F2037D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Li, S., Zhang, Q., Wang, J., Liu, Y., Zhao, Y., &amp; Deng, Y. (2021). Recent progress in metabolic engineering of </w:t>
      </w:r>
      <w:r w:rsidRPr="00310E46">
        <w:rPr>
          <w:rFonts w:ascii="Calibri" w:hAnsi="Calibri" w:cs="Calibri"/>
          <w:i/>
          <w:iCs/>
          <w:noProof/>
          <w:szCs w:val="24"/>
          <w:lang w:val="en-US"/>
        </w:rPr>
        <w:t>Saccharomyces cerevisiae</w:t>
      </w:r>
      <w:r w:rsidRPr="00310E46">
        <w:rPr>
          <w:rFonts w:ascii="Calibri" w:hAnsi="Calibri" w:cs="Calibri"/>
          <w:noProof/>
          <w:szCs w:val="24"/>
          <w:lang w:val="en-US"/>
        </w:rPr>
        <w:t xml:space="preserve"> for the production of malonyl-CoA derivatives. </w:t>
      </w:r>
      <w:r w:rsidRPr="00310E46">
        <w:rPr>
          <w:rFonts w:ascii="Calibri" w:hAnsi="Calibri" w:cs="Calibri"/>
          <w:i/>
          <w:iCs/>
          <w:noProof/>
          <w:szCs w:val="24"/>
          <w:lang w:val="en-US"/>
        </w:rPr>
        <w:t>Journal of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325</w:t>
      </w:r>
      <w:r w:rsidRPr="00310E46">
        <w:rPr>
          <w:rFonts w:ascii="Calibri" w:hAnsi="Calibri" w:cs="Calibri"/>
          <w:noProof/>
          <w:szCs w:val="24"/>
          <w:lang w:val="en-US"/>
        </w:rPr>
        <w:t>(December 2020), 83–90. https://doi.org/10.1016/j.jbiotec.2020.11.014</w:t>
      </w:r>
    </w:p>
    <w:p w14:paraId="120A879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Liao, Z., Zhang, J., Shi, Y., Zhang, Y., Ma, Z., Bechthold, A., &amp; Yu, X. (2022). Improvement of Rimocidin Biosynthesis by Increasing Supply of Precursor Malonyl-CoA via Over-expression of Acetyl-CoA Carboxylase in </w:t>
      </w:r>
      <w:r w:rsidRPr="00310E46">
        <w:rPr>
          <w:rFonts w:ascii="Calibri" w:hAnsi="Calibri" w:cs="Calibri"/>
          <w:i/>
          <w:iCs/>
          <w:noProof/>
          <w:szCs w:val="24"/>
          <w:lang w:val="en-US"/>
        </w:rPr>
        <w:t>Streptomyces rimosus</w:t>
      </w:r>
      <w:r w:rsidRPr="00310E46">
        <w:rPr>
          <w:rFonts w:ascii="Calibri" w:hAnsi="Calibri" w:cs="Calibri"/>
          <w:noProof/>
          <w:szCs w:val="24"/>
          <w:lang w:val="en-US"/>
        </w:rPr>
        <w:t xml:space="preserve"> M527. </w:t>
      </w:r>
      <w:r w:rsidRPr="00310E46">
        <w:rPr>
          <w:rFonts w:ascii="Calibri" w:hAnsi="Calibri" w:cs="Calibri"/>
          <w:i/>
          <w:iCs/>
          <w:noProof/>
          <w:szCs w:val="24"/>
          <w:lang w:val="en-US"/>
        </w:rPr>
        <w:t>Current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79</w:t>
      </w:r>
      <w:r w:rsidRPr="00310E46">
        <w:rPr>
          <w:rFonts w:ascii="Calibri" w:hAnsi="Calibri" w:cs="Calibri"/>
          <w:noProof/>
          <w:szCs w:val="24"/>
          <w:lang w:val="en-US"/>
        </w:rPr>
        <w:t>(6), 1–8. https://doi.org/10.1007/s00284-022-02867-9</w:t>
      </w:r>
    </w:p>
    <w:p w14:paraId="38FFD7DD"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Ling, C., Peabody, G. L., Salvachúa, D., Kim, Y., Kneucker, C. M., Calvey, C. H., Monninger, M. A., Munoz, N. M., Poirier, B. C., Ramirez, K. J., John, P. C. St., Woodworth, S. P., Magnuson, J. K., Burnum-Johnson, K. E., Guss, A. M., Johnson, C. W., &amp; Beckham, G. T. (2022). Muconic acid production from glucose and xylose in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via evolution and metabolic engineering. </w:t>
      </w:r>
      <w:r w:rsidRPr="00310E46">
        <w:rPr>
          <w:rFonts w:ascii="Calibri" w:hAnsi="Calibri" w:cs="Calibri"/>
          <w:i/>
          <w:iCs/>
          <w:noProof/>
          <w:szCs w:val="24"/>
          <w:lang w:val="en-US"/>
        </w:rPr>
        <w:t>Nature Communications</w:t>
      </w:r>
      <w:r w:rsidRPr="00310E46">
        <w:rPr>
          <w:rFonts w:ascii="Calibri" w:hAnsi="Calibri" w:cs="Calibri"/>
          <w:noProof/>
          <w:szCs w:val="24"/>
          <w:lang w:val="en-US"/>
        </w:rPr>
        <w:t xml:space="preserve">, </w:t>
      </w:r>
      <w:r w:rsidRPr="00310E46">
        <w:rPr>
          <w:rFonts w:ascii="Calibri" w:hAnsi="Calibri" w:cs="Calibri"/>
          <w:i/>
          <w:iCs/>
          <w:noProof/>
          <w:szCs w:val="24"/>
          <w:lang w:val="en-US"/>
        </w:rPr>
        <w:t>13</w:t>
      </w:r>
      <w:r w:rsidRPr="00310E46">
        <w:rPr>
          <w:rFonts w:ascii="Calibri" w:hAnsi="Calibri" w:cs="Calibri"/>
          <w:noProof/>
          <w:szCs w:val="24"/>
          <w:lang w:val="en-US"/>
        </w:rPr>
        <w:t>(4925). https://doi.org/10.1038/s41467-022-32296-y</w:t>
      </w:r>
    </w:p>
    <w:p w14:paraId="4A08FB5F"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Liu, J., Wang, X., Dai, G., Zhang, Y., &amp; Bian, X. (2022). Microbial chassis engineering drives heterologous production of complex secondary metabolites. </w:t>
      </w:r>
      <w:r w:rsidRPr="00310E46">
        <w:rPr>
          <w:rFonts w:ascii="Calibri" w:hAnsi="Calibri" w:cs="Calibri"/>
          <w:i/>
          <w:iCs/>
          <w:noProof/>
          <w:szCs w:val="24"/>
          <w:lang w:val="en-US"/>
        </w:rPr>
        <w:t>Biotechnology Advances</w:t>
      </w:r>
      <w:r w:rsidRPr="00310E46">
        <w:rPr>
          <w:rFonts w:ascii="Calibri" w:hAnsi="Calibri" w:cs="Calibri"/>
          <w:noProof/>
          <w:szCs w:val="24"/>
          <w:lang w:val="en-US"/>
        </w:rPr>
        <w:t xml:space="preserve">, </w:t>
      </w:r>
      <w:r w:rsidRPr="00310E46">
        <w:rPr>
          <w:rFonts w:ascii="Calibri" w:hAnsi="Calibri" w:cs="Calibri"/>
          <w:i/>
          <w:iCs/>
          <w:noProof/>
          <w:szCs w:val="24"/>
          <w:lang w:val="en-US"/>
        </w:rPr>
        <w:t>59</w:t>
      </w:r>
      <w:r w:rsidRPr="00310E46">
        <w:rPr>
          <w:rFonts w:ascii="Calibri" w:hAnsi="Calibri" w:cs="Calibri"/>
          <w:noProof/>
          <w:szCs w:val="24"/>
          <w:lang w:val="en-US"/>
        </w:rPr>
        <w:t>, 107966. https://doi.org/10.1016/j.biotechadv.2022.107966</w:t>
      </w:r>
    </w:p>
    <w:p w14:paraId="55A04D4B"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Liu, M., Wang, C., Ren, X., Gao, S., Yu, S., &amp; Zhou, J. (2022). Remodelling </w:t>
      </w:r>
      <w:r w:rsidRPr="00310E46">
        <w:rPr>
          <w:rFonts w:ascii="Calibri" w:hAnsi="Calibri" w:cs="Calibri"/>
          <w:noProof/>
          <w:szCs w:val="24"/>
          <w:lang w:val="en-US"/>
        </w:rPr>
        <w:lastRenderedPageBreak/>
        <w:t xml:space="preserve">metabolism for high-level resveratrol production in </w:t>
      </w:r>
      <w:r w:rsidRPr="00310E46">
        <w:rPr>
          <w:rFonts w:ascii="Calibri" w:hAnsi="Calibri" w:cs="Calibri"/>
          <w:i/>
          <w:iCs/>
          <w:noProof/>
          <w:szCs w:val="24"/>
          <w:lang w:val="en-US"/>
        </w:rPr>
        <w:t>Yarrowia lipolytica</w:t>
      </w:r>
      <w:r w:rsidRPr="00310E46">
        <w:rPr>
          <w:rFonts w:ascii="Calibri" w:hAnsi="Calibri" w:cs="Calibri"/>
          <w:noProof/>
          <w:szCs w:val="24"/>
          <w:lang w:val="en-US"/>
        </w:rPr>
        <w:t xml:space="preserve">. </w:t>
      </w:r>
      <w:r w:rsidRPr="00310E46">
        <w:rPr>
          <w:rFonts w:ascii="Calibri" w:hAnsi="Calibri" w:cs="Calibri"/>
          <w:i/>
          <w:iCs/>
          <w:noProof/>
          <w:szCs w:val="24"/>
          <w:lang w:val="en-US"/>
        </w:rPr>
        <w:t>Bioresource 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365</w:t>
      </w:r>
      <w:r w:rsidRPr="00310E46">
        <w:rPr>
          <w:rFonts w:ascii="Calibri" w:hAnsi="Calibri" w:cs="Calibri"/>
          <w:noProof/>
          <w:szCs w:val="24"/>
          <w:lang w:val="en-US"/>
        </w:rPr>
        <w:t>(128178). https://doi.org/https://doi.org/10.1016/j.biortech.2022.128178</w:t>
      </w:r>
    </w:p>
    <w:p w14:paraId="01C211AA"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Liu, X., Ding, W., &amp; Jiang, H. (2017). </w:t>
      </w:r>
      <w:r w:rsidRPr="00310E46">
        <w:rPr>
          <w:rFonts w:ascii="Calibri" w:hAnsi="Calibri" w:cs="Calibri"/>
          <w:noProof/>
          <w:szCs w:val="24"/>
          <w:lang w:val="en-US"/>
        </w:rPr>
        <w:t xml:space="preserve">Engineering microbial cell factories for the production of plant natural products: From design principles to industrial-scale production. </w:t>
      </w:r>
      <w:r w:rsidRPr="00310E46">
        <w:rPr>
          <w:rFonts w:ascii="Calibri" w:hAnsi="Calibri" w:cs="Calibri"/>
          <w:i/>
          <w:iCs/>
          <w:noProof/>
          <w:szCs w:val="24"/>
          <w:lang w:val="en-US"/>
        </w:rPr>
        <w:t>Microbial Cell Factories</w:t>
      </w:r>
      <w:r w:rsidRPr="00310E46">
        <w:rPr>
          <w:rFonts w:ascii="Calibri" w:hAnsi="Calibri" w:cs="Calibri"/>
          <w:noProof/>
          <w:szCs w:val="24"/>
          <w:lang w:val="en-US"/>
        </w:rPr>
        <w:t xml:space="preserve">, </w:t>
      </w:r>
      <w:r w:rsidRPr="00310E46">
        <w:rPr>
          <w:rFonts w:ascii="Calibri" w:hAnsi="Calibri" w:cs="Calibri"/>
          <w:i/>
          <w:iCs/>
          <w:noProof/>
          <w:szCs w:val="24"/>
          <w:lang w:val="en-US"/>
        </w:rPr>
        <w:t>16</w:t>
      </w:r>
      <w:r w:rsidRPr="00310E46">
        <w:rPr>
          <w:rFonts w:ascii="Calibri" w:hAnsi="Calibri" w:cs="Calibri"/>
          <w:noProof/>
          <w:szCs w:val="24"/>
          <w:lang w:val="en-US"/>
        </w:rPr>
        <w:t>(1), 1–9. https://doi.org/10.1186/s12934-017-0732-7</w:t>
      </w:r>
    </w:p>
    <w:p w14:paraId="0D2C4AF4"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Loeschcke, A., &amp; Thies, S. (2015).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—a versatile host for the production of natural products. </w:t>
      </w:r>
      <w:r w:rsidRPr="00310E46">
        <w:rPr>
          <w:rFonts w:ascii="Calibri" w:hAnsi="Calibri" w:cs="Calibri"/>
          <w:i/>
          <w:iCs/>
          <w:noProof/>
          <w:szCs w:val="24"/>
          <w:lang w:val="en-US"/>
        </w:rPr>
        <w:t>Applied Microbiology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99</w:t>
      </w:r>
      <w:r w:rsidRPr="00310E46">
        <w:rPr>
          <w:rFonts w:ascii="Calibri" w:hAnsi="Calibri" w:cs="Calibri"/>
          <w:noProof/>
          <w:szCs w:val="24"/>
          <w:lang w:val="en-US"/>
        </w:rPr>
        <w:t>(15), 6197–6214. https://doi.org/10.1007/s00253-015-6745-4</w:t>
      </w:r>
    </w:p>
    <w:p w14:paraId="77441BDA"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Martínez-García, E., &amp; de Lorenzo, V. (2011). Engineering multiple genomic deletions in Gram-negative bacteria: Analysis of the multi-resistant antibiotic profile of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KT2440. In </w:t>
      </w:r>
      <w:r w:rsidRPr="00310E46">
        <w:rPr>
          <w:rFonts w:ascii="Calibri" w:hAnsi="Calibri" w:cs="Calibri"/>
          <w:i/>
          <w:iCs/>
          <w:noProof/>
          <w:szCs w:val="24"/>
          <w:lang w:val="en-US"/>
        </w:rPr>
        <w:t>Environmental Microbiology</w:t>
      </w:r>
      <w:r w:rsidRPr="00310E46">
        <w:rPr>
          <w:rFonts w:ascii="Calibri" w:hAnsi="Calibri" w:cs="Calibri"/>
          <w:noProof/>
          <w:szCs w:val="24"/>
          <w:lang w:val="en-US"/>
        </w:rPr>
        <w:t xml:space="preserve"> (Vol. 13, Issue 10, pp. 2702–2716). https://doi.org/10.1111/j.1462-2920.2011.02538.x</w:t>
      </w:r>
    </w:p>
    <w:p w14:paraId="0AED6749"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Martínez-García, E., Fraile, S., Algar, E., Aparicio, T., Velázquez, E., Calles, B., Tas, H., Blázquez, B., Martín, B., Prieto, C., Sánchez-Sampedro, L., Nørholm, M. H. H., Volke, D. C., Wirth, N. T., Dvořák, P., Alejaldre, L., Grozinger, L., Crowther, M., Goñi-Moreno, A., … de Lorenzo, V. (2022). SEVA 4.0: an update of the Standard European Vector Architecture database for advanced analysis and programming of bacterial phenotypes. </w:t>
      </w:r>
      <w:r w:rsidRPr="00310E46">
        <w:rPr>
          <w:rFonts w:ascii="Calibri" w:hAnsi="Calibri" w:cs="Calibri"/>
          <w:i/>
          <w:iCs/>
          <w:noProof/>
          <w:szCs w:val="24"/>
          <w:lang w:val="en-US"/>
        </w:rPr>
        <w:t>Nucleic Acids Research</w:t>
      </w:r>
      <w:r w:rsidRPr="00310E46">
        <w:rPr>
          <w:rFonts w:ascii="Calibri" w:hAnsi="Calibri" w:cs="Calibri"/>
          <w:noProof/>
          <w:szCs w:val="24"/>
          <w:lang w:val="en-US"/>
        </w:rPr>
        <w:t>, 1–10. https://doi.org/10.1093/nar/gkac1059</w:t>
      </w:r>
    </w:p>
    <w:p w14:paraId="50A011D8"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lastRenderedPageBreak/>
        <w:t xml:space="preserve">McCarthy, C. M. (1988). Reversal of cerulenin inhibition of </w:t>
      </w:r>
      <w:r w:rsidRPr="00310E46">
        <w:rPr>
          <w:rFonts w:ascii="Calibri" w:hAnsi="Calibri" w:cs="Calibri"/>
          <w:i/>
          <w:iCs/>
          <w:noProof/>
          <w:szCs w:val="24"/>
          <w:lang w:val="en-US"/>
        </w:rPr>
        <w:t>Mycobacterium avium</w:t>
      </w:r>
      <w:r w:rsidRPr="00310E46">
        <w:rPr>
          <w:rFonts w:ascii="Calibri" w:hAnsi="Calibri" w:cs="Calibri"/>
          <w:noProof/>
          <w:szCs w:val="24"/>
          <w:lang w:val="en-US"/>
        </w:rPr>
        <w:t xml:space="preserve"> by octanoate. </w:t>
      </w:r>
      <w:r w:rsidRPr="00310E46">
        <w:rPr>
          <w:rFonts w:ascii="Calibri" w:hAnsi="Calibri" w:cs="Calibri"/>
          <w:i/>
          <w:iCs/>
          <w:noProof/>
          <w:szCs w:val="24"/>
          <w:lang w:val="en-US"/>
        </w:rPr>
        <w:t>Current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17</w:t>
      </w:r>
      <w:r w:rsidRPr="00310E46">
        <w:rPr>
          <w:rFonts w:ascii="Calibri" w:hAnsi="Calibri" w:cs="Calibri"/>
          <w:noProof/>
          <w:szCs w:val="24"/>
          <w:lang w:val="en-US"/>
        </w:rPr>
        <w:t>(3), 121–125. https://doi.org/10.1007/BF01573466</w:t>
      </w:r>
    </w:p>
    <w:p w14:paraId="27D95965" w14:textId="77777777" w:rsidR="00857265" w:rsidRPr="00857265" w:rsidRDefault="00857265" w:rsidP="00B84A00">
      <w:pPr>
        <w:widowControl w:val="0"/>
        <w:autoSpaceDE w:val="0"/>
        <w:autoSpaceDN w:val="0"/>
        <w:adjustRightInd w:val="0"/>
        <w:spacing w:line="276" w:lineRule="auto"/>
        <w:ind w:left="480" w:hanging="480"/>
        <w:rPr>
          <w:rFonts w:ascii="Calibri" w:hAnsi="Calibri" w:cs="Calibri"/>
          <w:noProof/>
          <w:szCs w:val="24"/>
        </w:rPr>
      </w:pPr>
      <w:r w:rsidRPr="00310E46">
        <w:rPr>
          <w:rFonts w:ascii="Calibri" w:hAnsi="Calibri" w:cs="Calibri"/>
          <w:noProof/>
          <w:szCs w:val="24"/>
          <w:lang w:val="en-US"/>
        </w:rPr>
        <w:t xml:space="preserve">McNaught, K. J., Kuatsjah, E., Zahn, M., Prates, É. T., Shao, H., Bentley, G. J., Pickford, A. R., Gruber, J. N., Hestmark, K. V., Jacobson, D. A., Poirier, B. C., Ling, C., Marchi, M. S., Michener, W. E., Nicora, C. D., Sanders, J. N., Szostkiewicz, C. J., Veličković, D., Zhou, M., … Beckham, G. T. (2023). Initiation of fatty acid biosynthesis in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KT2440. </w:t>
      </w:r>
      <w:r w:rsidRPr="00857265">
        <w:rPr>
          <w:rFonts w:ascii="Calibri" w:hAnsi="Calibri" w:cs="Calibri"/>
          <w:i/>
          <w:iCs/>
          <w:noProof/>
          <w:szCs w:val="24"/>
        </w:rPr>
        <w:t>Metabolic Engineering</w:t>
      </w:r>
      <w:r w:rsidRPr="00857265">
        <w:rPr>
          <w:rFonts w:ascii="Calibri" w:hAnsi="Calibri" w:cs="Calibri"/>
          <w:noProof/>
          <w:szCs w:val="24"/>
        </w:rPr>
        <w:t xml:space="preserve">, </w:t>
      </w:r>
      <w:r w:rsidRPr="00857265">
        <w:rPr>
          <w:rFonts w:ascii="Calibri" w:hAnsi="Calibri" w:cs="Calibri"/>
          <w:i/>
          <w:iCs/>
          <w:noProof/>
          <w:szCs w:val="24"/>
        </w:rPr>
        <w:t>76</w:t>
      </w:r>
      <w:r w:rsidRPr="00857265">
        <w:rPr>
          <w:rFonts w:ascii="Calibri" w:hAnsi="Calibri" w:cs="Calibri"/>
          <w:noProof/>
          <w:szCs w:val="24"/>
        </w:rPr>
        <w:t>, 193–203. https://doi.org/10.1016/j.ymben.2023.02.006</w:t>
      </w:r>
    </w:p>
    <w:p w14:paraId="58474DEF"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Milke, L., Aschenbrenner, J., Marienhagen, J., &amp; Kallscheuer, N. (2018). </w:t>
      </w:r>
      <w:r w:rsidRPr="00310E46">
        <w:rPr>
          <w:rFonts w:ascii="Calibri" w:hAnsi="Calibri" w:cs="Calibri"/>
          <w:noProof/>
          <w:szCs w:val="24"/>
          <w:lang w:val="en-US"/>
        </w:rPr>
        <w:t xml:space="preserve">Production of plant-derived polyphenols in microorganisms: current state and perspectives. </w:t>
      </w:r>
      <w:r w:rsidRPr="00310E46">
        <w:rPr>
          <w:rFonts w:ascii="Calibri" w:hAnsi="Calibri" w:cs="Calibri"/>
          <w:i/>
          <w:iCs/>
          <w:noProof/>
          <w:szCs w:val="24"/>
          <w:lang w:val="en-US"/>
        </w:rPr>
        <w:t>Applied Microbiology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102</w:t>
      </w:r>
      <w:r w:rsidRPr="00310E46">
        <w:rPr>
          <w:rFonts w:ascii="Calibri" w:hAnsi="Calibri" w:cs="Calibri"/>
          <w:noProof/>
          <w:szCs w:val="24"/>
          <w:lang w:val="en-US"/>
        </w:rPr>
        <w:t>(4), 1575–1585. https://doi.org/10.1007/s00253-018-8747-5</w:t>
      </w:r>
    </w:p>
    <w:p w14:paraId="4285A649" w14:textId="77777777" w:rsidR="00857265" w:rsidRPr="00857265" w:rsidRDefault="00857265" w:rsidP="00B84A00">
      <w:pPr>
        <w:widowControl w:val="0"/>
        <w:autoSpaceDE w:val="0"/>
        <w:autoSpaceDN w:val="0"/>
        <w:adjustRightInd w:val="0"/>
        <w:spacing w:line="276" w:lineRule="auto"/>
        <w:ind w:left="480" w:hanging="480"/>
        <w:rPr>
          <w:rFonts w:ascii="Calibri" w:hAnsi="Calibri" w:cs="Calibri"/>
          <w:noProof/>
          <w:szCs w:val="24"/>
        </w:rPr>
      </w:pPr>
      <w:r w:rsidRPr="00310E46">
        <w:rPr>
          <w:rFonts w:ascii="Calibri" w:hAnsi="Calibri" w:cs="Calibri"/>
          <w:noProof/>
          <w:szCs w:val="24"/>
          <w:lang w:val="en-US"/>
        </w:rPr>
        <w:t xml:space="preserve">Milke, L., Ferreira, P., Kallscheuer, N., Braga, A., Vogt, M., Kappelmann, J., Oliveira, J., Silva, A. R., Rocha, I., Bott, M., Noack, S., Faria, N., &amp; Marienhagen, J. (2019). Modulation of the central carbon metabolism of </w:t>
      </w:r>
      <w:r w:rsidRPr="00310E46">
        <w:rPr>
          <w:rFonts w:ascii="Calibri" w:hAnsi="Calibri" w:cs="Calibri"/>
          <w:i/>
          <w:iCs/>
          <w:noProof/>
          <w:szCs w:val="24"/>
          <w:lang w:val="en-US"/>
        </w:rPr>
        <w:t>Corynebacterium glutamicum</w:t>
      </w:r>
      <w:r w:rsidRPr="00310E46">
        <w:rPr>
          <w:rFonts w:ascii="Calibri" w:hAnsi="Calibri" w:cs="Calibri"/>
          <w:noProof/>
          <w:szCs w:val="24"/>
          <w:lang w:val="en-US"/>
        </w:rPr>
        <w:t xml:space="preserve"> improves malonyl-CoA availability and increases plant polyphenol synthesis. </w:t>
      </w:r>
      <w:r w:rsidRPr="00857265">
        <w:rPr>
          <w:rFonts w:ascii="Calibri" w:hAnsi="Calibri" w:cs="Calibri"/>
          <w:i/>
          <w:iCs/>
          <w:noProof/>
          <w:szCs w:val="24"/>
        </w:rPr>
        <w:t>Biotechnology and Bioengineering</w:t>
      </w:r>
      <w:r w:rsidRPr="00857265">
        <w:rPr>
          <w:rFonts w:ascii="Calibri" w:hAnsi="Calibri" w:cs="Calibri"/>
          <w:noProof/>
          <w:szCs w:val="24"/>
        </w:rPr>
        <w:t xml:space="preserve">, </w:t>
      </w:r>
      <w:r w:rsidRPr="00857265">
        <w:rPr>
          <w:rFonts w:ascii="Calibri" w:hAnsi="Calibri" w:cs="Calibri"/>
          <w:i/>
          <w:iCs/>
          <w:noProof/>
          <w:szCs w:val="24"/>
        </w:rPr>
        <w:t>116</w:t>
      </w:r>
      <w:r w:rsidRPr="00857265">
        <w:rPr>
          <w:rFonts w:ascii="Calibri" w:hAnsi="Calibri" w:cs="Calibri"/>
          <w:noProof/>
          <w:szCs w:val="24"/>
        </w:rPr>
        <w:t>(6), 1380–1391. https://doi.org/10.1002/bit.26939</w:t>
      </w:r>
    </w:p>
    <w:p w14:paraId="1C491DE8"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Milke, L., Kallscheuer, N., Kappelmann, J., &amp; Marienhagen, J. (2019). </w:t>
      </w:r>
      <w:r w:rsidRPr="00310E46">
        <w:rPr>
          <w:rFonts w:ascii="Calibri" w:hAnsi="Calibri" w:cs="Calibri"/>
          <w:noProof/>
          <w:szCs w:val="24"/>
          <w:lang w:val="en-US"/>
        </w:rPr>
        <w:t xml:space="preserve">Tailoring </w:t>
      </w:r>
      <w:r w:rsidRPr="00310E46">
        <w:rPr>
          <w:rFonts w:ascii="Calibri" w:hAnsi="Calibri" w:cs="Calibri"/>
          <w:i/>
          <w:iCs/>
          <w:noProof/>
          <w:szCs w:val="24"/>
          <w:lang w:val="en-US"/>
        </w:rPr>
        <w:t>Corynebacterium glutamicum</w:t>
      </w:r>
      <w:r w:rsidRPr="00310E46">
        <w:rPr>
          <w:rFonts w:ascii="Calibri" w:hAnsi="Calibri" w:cs="Calibri"/>
          <w:noProof/>
          <w:szCs w:val="24"/>
          <w:lang w:val="en-US"/>
        </w:rPr>
        <w:t xml:space="preserve"> towards increased malonyl-CoA availability for efficient synthesis of the plant pentaketide noreugenin. </w:t>
      </w:r>
      <w:r w:rsidRPr="00310E46">
        <w:rPr>
          <w:rFonts w:ascii="Calibri" w:hAnsi="Calibri" w:cs="Calibri"/>
          <w:i/>
          <w:iCs/>
          <w:noProof/>
          <w:szCs w:val="24"/>
          <w:lang w:val="en-US"/>
        </w:rPr>
        <w:t>Microbial Cell Factories</w:t>
      </w:r>
      <w:r w:rsidRPr="00310E46">
        <w:rPr>
          <w:rFonts w:ascii="Calibri" w:hAnsi="Calibri" w:cs="Calibri"/>
          <w:noProof/>
          <w:szCs w:val="24"/>
          <w:lang w:val="en-US"/>
        </w:rPr>
        <w:t xml:space="preserve">, </w:t>
      </w:r>
      <w:r w:rsidRPr="00310E46">
        <w:rPr>
          <w:rFonts w:ascii="Calibri" w:hAnsi="Calibri" w:cs="Calibri"/>
          <w:i/>
          <w:iCs/>
          <w:noProof/>
          <w:szCs w:val="24"/>
          <w:lang w:val="en-US"/>
        </w:rPr>
        <w:t>18</w:t>
      </w:r>
      <w:r w:rsidRPr="00310E46">
        <w:rPr>
          <w:rFonts w:ascii="Calibri" w:hAnsi="Calibri" w:cs="Calibri"/>
          <w:noProof/>
          <w:szCs w:val="24"/>
          <w:lang w:val="en-US"/>
        </w:rPr>
        <w:t>(1), 1–12. https://doi.org/10.1186/s12934-</w:t>
      </w:r>
      <w:r w:rsidRPr="00310E46">
        <w:rPr>
          <w:rFonts w:ascii="Calibri" w:hAnsi="Calibri" w:cs="Calibri"/>
          <w:noProof/>
          <w:szCs w:val="24"/>
          <w:lang w:val="en-US"/>
        </w:rPr>
        <w:lastRenderedPageBreak/>
        <w:t>019-1117-x</w:t>
      </w:r>
    </w:p>
    <w:p w14:paraId="3C0D0986"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Milke, L., &amp; Marienhagen, J. (2020). Engineering intracellular malonyl-CoA availability in microbial hosts and its impact on polyketide and fatty acid synthesis. </w:t>
      </w:r>
      <w:r w:rsidRPr="00310E46">
        <w:rPr>
          <w:rFonts w:ascii="Calibri" w:hAnsi="Calibri" w:cs="Calibri"/>
          <w:i/>
          <w:iCs/>
          <w:noProof/>
          <w:szCs w:val="24"/>
          <w:lang w:val="en-US"/>
        </w:rPr>
        <w:t>Applied Microbiology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2017</w:t>
      </w:r>
      <w:r w:rsidRPr="00310E46">
        <w:rPr>
          <w:rFonts w:ascii="Calibri" w:hAnsi="Calibri" w:cs="Calibri"/>
          <w:noProof/>
          <w:szCs w:val="24"/>
          <w:lang w:val="en-US"/>
        </w:rPr>
        <w:t>. https://doi.org/https://doi.org/10.1007/s00253-020-10643-7</w:t>
      </w:r>
    </w:p>
    <w:p w14:paraId="5B333504"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Mitchell, C. G., Anderson, S. C. K., &amp; El-Mansi, E. M. T. (1995). Purification and characterization of citrate synthase isoenzymes from </w:t>
      </w:r>
      <w:r w:rsidRPr="00310E46">
        <w:rPr>
          <w:rFonts w:ascii="Calibri" w:hAnsi="Calibri" w:cs="Calibri"/>
          <w:i/>
          <w:iCs/>
          <w:noProof/>
          <w:szCs w:val="24"/>
          <w:lang w:val="en-US"/>
        </w:rPr>
        <w:t>Pseudomonas aeruginosa</w:t>
      </w:r>
      <w:r w:rsidRPr="00310E46">
        <w:rPr>
          <w:rFonts w:ascii="Calibri" w:hAnsi="Calibri" w:cs="Calibri"/>
          <w:noProof/>
          <w:szCs w:val="24"/>
          <w:lang w:val="en-US"/>
        </w:rPr>
        <w:t xml:space="preserve">. </w:t>
      </w:r>
      <w:r w:rsidRPr="00310E46">
        <w:rPr>
          <w:rFonts w:ascii="Calibri" w:hAnsi="Calibri" w:cs="Calibri"/>
          <w:i/>
          <w:iCs/>
          <w:noProof/>
          <w:szCs w:val="24"/>
          <w:lang w:val="en-US"/>
        </w:rPr>
        <w:t>Biochemical Journal</w:t>
      </w:r>
      <w:r w:rsidRPr="00310E46">
        <w:rPr>
          <w:rFonts w:ascii="Calibri" w:hAnsi="Calibri" w:cs="Calibri"/>
          <w:noProof/>
          <w:szCs w:val="24"/>
          <w:lang w:val="en-US"/>
        </w:rPr>
        <w:t xml:space="preserve">, </w:t>
      </w:r>
      <w:r w:rsidRPr="00310E46">
        <w:rPr>
          <w:rFonts w:ascii="Calibri" w:hAnsi="Calibri" w:cs="Calibri"/>
          <w:i/>
          <w:iCs/>
          <w:noProof/>
          <w:szCs w:val="24"/>
          <w:lang w:val="en-US"/>
        </w:rPr>
        <w:t>309</w:t>
      </w:r>
      <w:r w:rsidRPr="00310E46">
        <w:rPr>
          <w:rFonts w:ascii="Calibri" w:hAnsi="Calibri" w:cs="Calibri"/>
          <w:noProof/>
          <w:szCs w:val="24"/>
          <w:lang w:val="en-US"/>
        </w:rPr>
        <w:t>(2), 507–511. https://doi.org/10.1042/bj3090507</w:t>
      </w:r>
    </w:p>
    <w:p w14:paraId="5685C467"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Miyahisa, I., Kaneko, M., Funa, N., Kawasaki, H., Kojima, H., Ohnishi, Y., &amp; Horinouchi, S. (2005). Efficient production of (2</w:t>
      </w:r>
      <w:r w:rsidRPr="00310E46">
        <w:rPr>
          <w:rFonts w:ascii="Calibri" w:hAnsi="Calibri" w:cs="Calibri"/>
          <w:i/>
          <w:iCs/>
          <w:noProof/>
          <w:szCs w:val="24"/>
          <w:lang w:val="en-US"/>
        </w:rPr>
        <w:t>S</w:t>
      </w:r>
      <w:r w:rsidRPr="00310E46">
        <w:rPr>
          <w:rFonts w:ascii="Calibri" w:hAnsi="Calibri" w:cs="Calibri"/>
          <w:noProof/>
          <w:szCs w:val="24"/>
          <w:lang w:val="en-US"/>
        </w:rPr>
        <w:t xml:space="preserve">)-flavanones by </w:t>
      </w:r>
      <w:r w:rsidRPr="00310E46">
        <w:rPr>
          <w:rFonts w:ascii="Calibri" w:hAnsi="Calibri" w:cs="Calibri"/>
          <w:i/>
          <w:iCs/>
          <w:noProof/>
          <w:szCs w:val="24"/>
          <w:lang w:val="en-US"/>
        </w:rPr>
        <w:t>Escherichia coli</w:t>
      </w:r>
      <w:r w:rsidRPr="00310E46">
        <w:rPr>
          <w:rFonts w:ascii="Calibri" w:hAnsi="Calibri" w:cs="Calibri"/>
          <w:noProof/>
          <w:szCs w:val="24"/>
          <w:lang w:val="en-US"/>
        </w:rPr>
        <w:t xml:space="preserve"> containing an artificial biosynthetic gene cluster. </w:t>
      </w:r>
      <w:r w:rsidRPr="00310E46">
        <w:rPr>
          <w:rFonts w:ascii="Calibri" w:hAnsi="Calibri" w:cs="Calibri"/>
          <w:i/>
          <w:iCs/>
          <w:noProof/>
          <w:szCs w:val="24"/>
          <w:lang w:val="en-US"/>
        </w:rPr>
        <w:t>Applied Microbiology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68</w:t>
      </w:r>
      <w:r w:rsidRPr="00310E46">
        <w:rPr>
          <w:rFonts w:ascii="Calibri" w:hAnsi="Calibri" w:cs="Calibri"/>
          <w:noProof/>
          <w:szCs w:val="24"/>
          <w:lang w:val="en-US"/>
        </w:rPr>
        <w:t>(4), 498–504. https://doi.org/10.1007/s00253-005-1916-3</w:t>
      </w:r>
    </w:p>
    <w:p w14:paraId="64CC771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Molina-Henares, M. A., de la Torre, J., García-Salamanca, A., Molina-Henares, A. J., Herrera, M. C., Ramos, J. L., &amp; Duque, E. (2010). Identification of conditionally essential genes for growth of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KT2440 on minimal medium through the screening of a genome-wide mutant library. </w:t>
      </w:r>
      <w:r w:rsidRPr="00310E46">
        <w:rPr>
          <w:rFonts w:ascii="Calibri" w:hAnsi="Calibri" w:cs="Calibri"/>
          <w:i/>
          <w:iCs/>
          <w:noProof/>
          <w:szCs w:val="24"/>
          <w:lang w:val="en-US"/>
        </w:rPr>
        <w:t>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12</w:t>
      </w:r>
      <w:r w:rsidRPr="00310E46">
        <w:rPr>
          <w:rFonts w:ascii="Calibri" w:hAnsi="Calibri" w:cs="Calibri"/>
          <w:noProof/>
          <w:szCs w:val="24"/>
          <w:lang w:val="en-US"/>
        </w:rPr>
        <w:t>(6), 1468–1485. https://doi.org/10.1111/j.1462-2920.2010.02166.x</w:t>
      </w:r>
    </w:p>
    <w:p w14:paraId="13026942"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Morita, H., Abe, I., &amp; Noguchi, H. (2010). Plant type III PKS. </w:t>
      </w:r>
      <w:r w:rsidRPr="00310E46">
        <w:rPr>
          <w:rFonts w:ascii="Calibri" w:hAnsi="Calibri" w:cs="Calibri"/>
          <w:i/>
          <w:iCs/>
          <w:noProof/>
          <w:szCs w:val="24"/>
          <w:lang w:val="en-US"/>
        </w:rPr>
        <w:t>Comprehensive Natural Products II: Chemistry and Biology</w:t>
      </w:r>
      <w:r w:rsidRPr="00310E46">
        <w:rPr>
          <w:rFonts w:ascii="Calibri" w:hAnsi="Calibri" w:cs="Calibri"/>
          <w:noProof/>
          <w:szCs w:val="24"/>
          <w:lang w:val="en-US"/>
        </w:rPr>
        <w:t xml:space="preserve">, </w:t>
      </w:r>
      <w:r w:rsidRPr="00310E46">
        <w:rPr>
          <w:rFonts w:ascii="Calibri" w:hAnsi="Calibri" w:cs="Calibri"/>
          <w:i/>
          <w:iCs/>
          <w:noProof/>
          <w:szCs w:val="24"/>
          <w:lang w:val="en-US"/>
        </w:rPr>
        <w:t>1</w:t>
      </w:r>
      <w:r w:rsidRPr="00310E46">
        <w:rPr>
          <w:rFonts w:ascii="Calibri" w:hAnsi="Calibri" w:cs="Calibri"/>
          <w:noProof/>
          <w:szCs w:val="24"/>
          <w:lang w:val="en-US"/>
        </w:rPr>
        <w:t>, 171–225. https://doi.org/10.1016/b978-008045382-8.00022-8</w:t>
      </w:r>
    </w:p>
    <w:p w14:paraId="5E8CB4A9"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Mutalik, V. K., Guimaraes, J. C., Cambray, G., Lam, C., Christoffersen, M. J., </w:t>
      </w:r>
      <w:r w:rsidRPr="00310E46">
        <w:rPr>
          <w:rFonts w:ascii="Calibri" w:hAnsi="Calibri" w:cs="Calibri"/>
          <w:noProof/>
          <w:szCs w:val="24"/>
          <w:lang w:val="en-US"/>
        </w:rPr>
        <w:lastRenderedPageBreak/>
        <w:t xml:space="preserve">Mai, Q. A., Tran, A. B., Paull, M., Keasling, J. D., Arkin, A. P., &amp; Endy, D. (2013). Precise and reliable gene expression via standard transcription and translation initiation elements. </w:t>
      </w:r>
      <w:r w:rsidRPr="00310E46">
        <w:rPr>
          <w:rFonts w:ascii="Calibri" w:hAnsi="Calibri" w:cs="Calibri"/>
          <w:i/>
          <w:iCs/>
          <w:noProof/>
          <w:szCs w:val="24"/>
          <w:lang w:val="en-US"/>
        </w:rPr>
        <w:t>Nature Methods</w:t>
      </w:r>
      <w:r w:rsidRPr="00310E46">
        <w:rPr>
          <w:rFonts w:ascii="Calibri" w:hAnsi="Calibri" w:cs="Calibri"/>
          <w:noProof/>
          <w:szCs w:val="24"/>
          <w:lang w:val="en-US"/>
        </w:rPr>
        <w:t xml:space="preserve">, </w:t>
      </w:r>
      <w:r w:rsidRPr="00310E46">
        <w:rPr>
          <w:rFonts w:ascii="Calibri" w:hAnsi="Calibri" w:cs="Calibri"/>
          <w:i/>
          <w:iCs/>
          <w:noProof/>
          <w:szCs w:val="24"/>
          <w:lang w:val="en-US"/>
        </w:rPr>
        <w:t>10</w:t>
      </w:r>
      <w:r w:rsidRPr="00310E46">
        <w:rPr>
          <w:rFonts w:ascii="Calibri" w:hAnsi="Calibri" w:cs="Calibri"/>
          <w:noProof/>
          <w:szCs w:val="24"/>
          <w:lang w:val="en-US"/>
        </w:rPr>
        <w:t>(4), 354–360. https://doi.org/10.1038/nmeth.2404</w:t>
      </w:r>
    </w:p>
    <w:p w14:paraId="56FB8D4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Nies, S. C., Alter, T. B., Nölting, S., Thiery, S., &amp; Phan, A. N. T. (2020). High titer methyl ketone production with tailored </w:t>
      </w:r>
      <w:r w:rsidRPr="00310E46">
        <w:rPr>
          <w:rFonts w:ascii="Calibri" w:hAnsi="Calibri" w:cs="Calibri"/>
          <w:i/>
          <w:iCs/>
          <w:noProof/>
          <w:szCs w:val="24"/>
          <w:lang w:val="en-US"/>
        </w:rPr>
        <w:t>Pseudomonas taiwanensis</w:t>
      </w:r>
      <w:r w:rsidRPr="00310E46">
        <w:rPr>
          <w:rFonts w:ascii="Calibri" w:hAnsi="Calibri" w:cs="Calibri"/>
          <w:noProof/>
          <w:szCs w:val="24"/>
          <w:lang w:val="en-US"/>
        </w:rPr>
        <w:t xml:space="preserve"> VLB120.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62</w:t>
      </w:r>
      <w:r w:rsidRPr="00310E46">
        <w:rPr>
          <w:rFonts w:ascii="Calibri" w:hAnsi="Calibri" w:cs="Calibri"/>
          <w:noProof/>
          <w:szCs w:val="24"/>
          <w:lang w:val="en-US"/>
        </w:rPr>
        <w:t>, 84–94. https://doi.org/10.1016/j.ymben.2020.08.003</w:t>
      </w:r>
    </w:p>
    <w:p w14:paraId="0B672354"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Nikel, P. I., Chavarría, M., Fuhrer, T., Sauer, U., &amp; De Lorenzo, V. (2015).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KT2440 strain metabolizes glucose through a cycle formed by enzymes of the Entner-Doudoroff, embden-meyerhof-parnas, and pentose phosphate pathways. </w:t>
      </w:r>
      <w:r w:rsidRPr="00310E46">
        <w:rPr>
          <w:rFonts w:ascii="Calibri" w:hAnsi="Calibri" w:cs="Calibri"/>
          <w:i/>
          <w:iCs/>
          <w:noProof/>
          <w:szCs w:val="24"/>
          <w:lang w:val="en-US"/>
        </w:rPr>
        <w:t>Journal of Biological Chemistry</w:t>
      </w:r>
      <w:r w:rsidRPr="00310E46">
        <w:rPr>
          <w:rFonts w:ascii="Calibri" w:hAnsi="Calibri" w:cs="Calibri"/>
          <w:noProof/>
          <w:szCs w:val="24"/>
          <w:lang w:val="en-US"/>
        </w:rPr>
        <w:t xml:space="preserve">, </w:t>
      </w:r>
      <w:r w:rsidRPr="00310E46">
        <w:rPr>
          <w:rFonts w:ascii="Calibri" w:hAnsi="Calibri" w:cs="Calibri"/>
          <w:i/>
          <w:iCs/>
          <w:noProof/>
          <w:szCs w:val="24"/>
          <w:lang w:val="en-US"/>
        </w:rPr>
        <w:t>290</w:t>
      </w:r>
      <w:r w:rsidRPr="00310E46">
        <w:rPr>
          <w:rFonts w:ascii="Calibri" w:hAnsi="Calibri" w:cs="Calibri"/>
          <w:noProof/>
          <w:szCs w:val="24"/>
          <w:lang w:val="en-US"/>
        </w:rPr>
        <w:t>(43), 25920–25932. https://doi.org/10.1074/jbc.M115.687749</w:t>
      </w:r>
    </w:p>
    <w:p w14:paraId="0EC2F4C8"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Nikel, P. I., &amp; de Lorenzo, V. (2018).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as a functional </w:t>
      </w:r>
      <w:r w:rsidRPr="00310E46">
        <w:rPr>
          <w:rFonts w:ascii="Calibri" w:hAnsi="Calibri" w:cs="Calibri"/>
          <w:i/>
          <w:iCs/>
          <w:noProof/>
          <w:szCs w:val="24"/>
          <w:lang w:val="en-US"/>
        </w:rPr>
        <w:t>chassis</w:t>
      </w:r>
      <w:r w:rsidRPr="00310E46">
        <w:rPr>
          <w:rFonts w:ascii="Calibri" w:hAnsi="Calibri" w:cs="Calibri"/>
          <w:noProof/>
          <w:szCs w:val="24"/>
          <w:lang w:val="en-US"/>
        </w:rPr>
        <w:t xml:space="preserve"> for industrial biocatalysis: From native biochemistry to </w:t>
      </w:r>
      <w:r w:rsidRPr="00310E46">
        <w:rPr>
          <w:rFonts w:ascii="Calibri" w:hAnsi="Calibri" w:cs="Calibri"/>
          <w:i/>
          <w:iCs/>
          <w:noProof/>
          <w:szCs w:val="24"/>
          <w:lang w:val="en-US"/>
        </w:rPr>
        <w:t>trans</w:t>
      </w:r>
      <w:r w:rsidRPr="00310E46">
        <w:rPr>
          <w:rFonts w:ascii="Calibri" w:hAnsi="Calibri" w:cs="Calibri"/>
          <w:noProof/>
          <w:szCs w:val="24"/>
          <w:lang w:val="en-US"/>
        </w:rPr>
        <w:t xml:space="preserve">-metabolism.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50</w:t>
      </w:r>
      <w:r w:rsidRPr="00310E46">
        <w:rPr>
          <w:rFonts w:ascii="Calibri" w:hAnsi="Calibri" w:cs="Calibri"/>
          <w:noProof/>
          <w:szCs w:val="24"/>
          <w:lang w:val="en-US"/>
        </w:rPr>
        <w:t>(April), 142–155. https://doi.org/10.1016/j.ymben.2018.05.005</w:t>
      </w:r>
    </w:p>
    <w:p w14:paraId="68355706"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Otto, M., Wynands, B., Lenzen, C., Filbig, M., Blank, L. M., &amp; Wierckx, N. (2019). Rational Engineering of Phenylalanine Accumulation in </w:t>
      </w:r>
      <w:r w:rsidRPr="00310E46">
        <w:rPr>
          <w:rFonts w:ascii="Calibri" w:hAnsi="Calibri" w:cs="Calibri"/>
          <w:i/>
          <w:iCs/>
          <w:noProof/>
          <w:szCs w:val="24"/>
          <w:lang w:val="en-US"/>
        </w:rPr>
        <w:t>Pseudomonas taiwanensis</w:t>
      </w:r>
      <w:r w:rsidRPr="00310E46">
        <w:rPr>
          <w:rFonts w:ascii="Calibri" w:hAnsi="Calibri" w:cs="Calibri"/>
          <w:noProof/>
          <w:szCs w:val="24"/>
          <w:lang w:val="en-US"/>
        </w:rPr>
        <w:t xml:space="preserve"> to Enable High-Yield Production of </w:t>
      </w:r>
      <w:r w:rsidRPr="00310E46">
        <w:rPr>
          <w:rFonts w:ascii="Calibri" w:hAnsi="Calibri" w:cs="Calibri"/>
          <w:i/>
          <w:iCs/>
          <w:noProof/>
          <w:szCs w:val="24"/>
          <w:lang w:val="en-US"/>
        </w:rPr>
        <w:t>Trans</w:t>
      </w:r>
      <w:r w:rsidRPr="00310E46">
        <w:rPr>
          <w:rFonts w:ascii="Calibri" w:hAnsi="Calibri" w:cs="Calibri"/>
          <w:noProof/>
          <w:szCs w:val="24"/>
          <w:lang w:val="en-US"/>
        </w:rPr>
        <w:t xml:space="preserve">-cinnamate. </w:t>
      </w:r>
      <w:r w:rsidRPr="00310E46">
        <w:rPr>
          <w:rFonts w:ascii="Calibri" w:hAnsi="Calibri" w:cs="Calibri"/>
          <w:i/>
          <w:iCs/>
          <w:noProof/>
          <w:szCs w:val="24"/>
          <w:lang w:val="en-US"/>
        </w:rPr>
        <w:t>Frontiers in Bioengineering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7</w:t>
      </w:r>
      <w:r w:rsidRPr="00310E46">
        <w:rPr>
          <w:rFonts w:ascii="Calibri" w:hAnsi="Calibri" w:cs="Calibri"/>
          <w:noProof/>
          <w:szCs w:val="24"/>
          <w:lang w:val="en-US"/>
        </w:rPr>
        <w:t>(312). https://doi.org/10.3389/fbioe.2019.00312</w:t>
      </w:r>
    </w:p>
    <w:p w14:paraId="61586E20"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Otto, M., Wynands, B., Marienhagen, J., Blank, L. M., &amp; Wierckx, N. (2020). Benzoate Synthesis from Glucose Or Glycerol Using Engineered </w:t>
      </w:r>
      <w:r w:rsidRPr="00310E46">
        <w:rPr>
          <w:rFonts w:ascii="Calibri" w:hAnsi="Calibri" w:cs="Calibri"/>
          <w:i/>
          <w:iCs/>
          <w:noProof/>
          <w:szCs w:val="24"/>
          <w:lang w:val="en-US"/>
        </w:rPr>
        <w:lastRenderedPageBreak/>
        <w:t>Pseudomonas taiwanensis</w:t>
      </w:r>
      <w:r w:rsidRPr="00310E46">
        <w:rPr>
          <w:rFonts w:ascii="Calibri" w:hAnsi="Calibri" w:cs="Calibri"/>
          <w:noProof/>
          <w:szCs w:val="24"/>
          <w:lang w:val="en-US"/>
        </w:rPr>
        <w:t xml:space="preserve">. </w:t>
      </w:r>
      <w:r w:rsidRPr="00310E46">
        <w:rPr>
          <w:rFonts w:ascii="Calibri" w:hAnsi="Calibri" w:cs="Calibri"/>
          <w:i/>
          <w:iCs/>
          <w:noProof/>
          <w:szCs w:val="24"/>
          <w:lang w:val="en-US"/>
        </w:rPr>
        <w:t>Biotechnology Journal</w:t>
      </w:r>
      <w:r w:rsidRPr="00310E46">
        <w:rPr>
          <w:rFonts w:ascii="Calibri" w:hAnsi="Calibri" w:cs="Calibri"/>
          <w:noProof/>
          <w:szCs w:val="24"/>
          <w:lang w:val="en-US"/>
        </w:rPr>
        <w:t xml:space="preserve">, </w:t>
      </w:r>
      <w:r w:rsidRPr="00310E46">
        <w:rPr>
          <w:rFonts w:ascii="Calibri" w:hAnsi="Calibri" w:cs="Calibri"/>
          <w:i/>
          <w:iCs/>
          <w:noProof/>
          <w:szCs w:val="24"/>
          <w:lang w:val="en-US"/>
        </w:rPr>
        <w:t>2000211</w:t>
      </w:r>
      <w:r w:rsidRPr="00310E46">
        <w:rPr>
          <w:rFonts w:ascii="Calibri" w:hAnsi="Calibri" w:cs="Calibri"/>
          <w:noProof/>
          <w:szCs w:val="24"/>
          <w:lang w:val="en-US"/>
        </w:rPr>
        <w:t>, 2000211. https://doi.org/10.1002/biot.202000211</w:t>
      </w:r>
    </w:p>
    <w:p w14:paraId="18859F8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Owen, J. G., Copp, J. N., &amp; Ackerley, D. F. (2011). Rapid and flexible biochemical assays for evaluating 4′- phosphopantetheinyl transferase activity. </w:t>
      </w:r>
      <w:r w:rsidRPr="00310E46">
        <w:rPr>
          <w:rFonts w:ascii="Calibri" w:hAnsi="Calibri" w:cs="Calibri"/>
          <w:i/>
          <w:iCs/>
          <w:noProof/>
          <w:szCs w:val="24"/>
          <w:lang w:val="en-US"/>
        </w:rPr>
        <w:t>Biochemical Journal</w:t>
      </w:r>
      <w:r w:rsidRPr="00310E46">
        <w:rPr>
          <w:rFonts w:ascii="Calibri" w:hAnsi="Calibri" w:cs="Calibri"/>
          <w:noProof/>
          <w:szCs w:val="24"/>
          <w:lang w:val="en-US"/>
        </w:rPr>
        <w:t xml:space="preserve">, </w:t>
      </w:r>
      <w:r w:rsidRPr="00310E46">
        <w:rPr>
          <w:rFonts w:ascii="Calibri" w:hAnsi="Calibri" w:cs="Calibri"/>
          <w:i/>
          <w:iCs/>
          <w:noProof/>
          <w:szCs w:val="24"/>
          <w:lang w:val="en-US"/>
        </w:rPr>
        <w:t>436</w:t>
      </w:r>
      <w:r w:rsidRPr="00310E46">
        <w:rPr>
          <w:rFonts w:ascii="Calibri" w:hAnsi="Calibri" w:cs="Calibri"/>
          <w:noProof/>
          <w:szCs w:val="24"/>
          <w:lang w:val="en-US"/>
        </w:rPr>
        <w:t>(3), 709–717. https://doi.org/10.1042/BJ20110321</w:t>
      </w:r>
    </w:p>
    <w:p w14:paraId="59452EEB"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Palmer, C. M., &amp; Alper, H. S. (2019). Expanding the Chemical Palette of Industrial Microbes: Metabolic Engineering for Type III PKS‐Derived Polyketides. </w:t>
      </w:r>
      <w:r w:rsidRPr="00310E46">
        <w:rPr>
          <w:rFonts w:ascii="Calibri" w:hAnsi="Calibri" w:cs="Calibri"/>
          <w:i/>
          <w:iCs/>
          <w:noProof/>
          <w:szCs w:val="24"/>
          <w:lang w:val="en-US"/>
        </w:rPr>
        <w:t>Biotechnology Journal</w:t>
      </w:r>
      <w:r w:rsidRPr="00310E46">
        <w:rPr>
          <w:rFonts w:ascii="Calibri" w:hAnsi="Calibri" w:cs="Calibri"/>
          <w:noProof/>
          <w:szCs w:val="24"/>
          <w:lang w:val="en-US"/>
        </w:rPr>
        <w:t xml:space="preserve">, </w:t>
      </w:r>
      <w:r w:rsidRPr="00310E46">
        <w:rPr>
          <w:rFonts w:ascii="Calibri" w:hAnsi="Calibri" w:cs="Calibri"/>
          <w:i/>
          <w:iCs/>
          <w:noProof/>
          <w:szCs w:val="24"/>
          <w:lang w:val="en-US"/>
        </w:rPr>
        <w:t>14</w:t>
      </w:r>
      <w:r w:rsidRPr="00310E46">
        <w:rPr>
          <w:rFonts w:ascii="Calibri" w:hAnsi="Calibri" w:cs="Calibri"/>
          <w:noProof/>
          <w:szCs w:val="24"/>
          <w:lang w:val="en-US"/>
        </w:rPr>
        <w:t>. https://doi.org/10.1002/biot.201700463</w:t>
      </w:r>
    </w:p>
    <w:p w14:paraId="4E25CE67"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Poblete-Castro, I., Binger, D., Rodrigues, A., Becker, J., Martins Dos Santos, V. A. P., &amp; Wittmann, C. (2013). In-silico-driven metabolic engineering of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for enhanced production of poly-hydroxyalkanoates.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15</w:t>
      </w:r>
      <w:r w:rsidRPr="00310E46">
        <w:rPr>
          <w:rFonts w:ascii="Calibri" w:hAnsi="Calibri" w:cs="Calibri"/>
          <w:noProof/>
          <w:szCs w:val="24"/>
          <w:lang w:val="en-US"/>
        </w:rPr>
        <w:t>(1), 113–123. https://doi.org/10.1016/j.ymben.2012.10.004</w:t>
      </w:r>
    </w:p>
    <w:p w14:paraId="1B6C27E0"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Puigbò, P., Guzmán, E., Romeu, A., &amp; Garcia-Vallvé, S. (2007). OPTIMIZER: A web server for optimizing the codon usage of DNA sequences. </w:t>
      </w:r>
      <w:r w:rsidRPr="00310E46">
        <w:rPr>
          <w:rFonts w:ascii="Calibri" w:hAnsi="Calibri" w:cs="Calibri"/>
          <w:i/>
          <w:iCs/>
          <w:noProof/>
          <w:szCs w:val="24"/>
          <w:lang w:val="en-US"/>
        </w:rPr>
        <w:t>Nucleic Acids Research</w:t>
      </w:r>
      <w:r w:rsidRPr="00310E46">
        <w:rPr>
          <w:rFonts w:ascii="Calibri" w:hAnsi="Calibri" w:cs="Calibri"/>
          <w:noProof/>
          <w:szCs w:val="24"/>
          <w:lang w:val="en-US"/>
        </w:rPr>
        <w:t xml:space="preserve">, </w:t>
      </w:r>
      <w:r w:rsidRPr="00310E46">
        <w:rPr>
          <w:rFonts w:ascii="Calibri" w:hAnsi="Calibri" w:cs="Calibri"/>
          <w:i/>
          <w:iCs/>
          <w:noProof/>
          <w:szCs w:val="24"/>
          <w:lang w:val="en-US"/>
        </w:rPr>
        <w:t>35</w:t>
      </w:r>
      <w:r w:rsidRPr="00310E46">
        <w:rPr>
          <w:rFonts w:ascii="Calibri" w:hAnsi="Calibri" w:cs="Calibri"/>
          <w:noProof/>
          <w:szCs w:val="24"/>
          <w:lang w:val="en-US"/>
        </w:rPr>
        <w:t>(SUPPL.2), 126–131. https://doi.org/10.1093/nar/gkm219</w:t>
      </w:r>
    </w:p>
    <w:p w14:paraId="1F4289C7"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Ramos-González, M. I., Ben-Bassat, A., Campos, M. J., &amp; Ramos, J. L. (2003). Genetic engineering of a highly solvent-tolerant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strain for biotransformation of toluene to </w:t>
      </w:r>
      <w:r w:rsidRPr="00310E46">
        <w:rPr>
          <w:rFonts w:ascii="Calibri" w:hAnsi="Calibri" w:cs="Calibri"/>
          <w:i/>
          <w:iCs/>
          <w:noProof/>
          <w:szCs w:val="24"/>
          <w:lang w:val="en-US"/>
        </w:rPr>
        <w:t>p</w:t>
      </w:r>
      <w:r w:rsidRPr="00310E46">
        <w:rPr>
          <w:rFonts w:ascii="Calibri" w:hAnsi="Calibri" w:cs="Calibri"/>
          <w:noProof/>
          <w:szCs w:val="24"/>
          <w:lang w:val="en-US"/>
        </w:rPr>
        <w:t xml:space="preserve">-hydroxybenzoate. </w:t>
      </w:r>
      <w:r w:rsidRPr="00310E46">
        <w:rPr>
          <w:rFonts w:ascii="Calibri" w:hAnsi="Calibri" w:cs="Calibri"/>
          <w:i/>
          <w:iCs/>
          <w:noProof/>
          <w:szCs w:val="24"/>
          <w:lang w:val="en-US"/>
        </w:rPr>
        <w:t>Applied and 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69</w:t>
      </w:r>
      <w:r w:rsidRPr="00310E46">
        <w:rPr>
          <w:rFonts w:ascii="Calibri" w:hAnsi="Calibri" w:cs="Calibri"/>
          <w:noProof/>
          <w:szCs w:val="24"/>
          <w:lang w:val="en-US"/>
        </w:rPr>
        <w:t>(9), 5120–5127. https://doi.org/10.1128/AEM.69.9.5120-5127.2003</w:t>
      </w:r>
    </w:p>
    <w:p w14:paraId="56AC631F"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lastRenderedPageBreak/>
        <w:t xml:space="preserve">Ramos, J. L., Cuenca, M. S., Molina-Santiago, C., Segura, A., Duque, E., Ǵomez-Garciá, M. R., Udaondo, Z., &amp; Roca, A. (2015). Mechanisms of solvent resistance mediated by interplay of cellular factors in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w:t>
      </w:r>
      <w:r w:rsidRPr="00310E46">
        <w:rPr>
          <w:rFonts w:ascii="Calibri" w:hAnsi="Calibri" w:cs="Calibri"/>
          <w:i/>
          <w:iCs/>
          <w:noProof/>
          <w:szCs w:val="24"/>
          <w:lang w:val="en-US"/>
        </w:rPr>
        <w:t>FEMS Microbiology Reviews</w:t>
      </w:r>
      <w:r w:rsidRPr="00310E46">
        <w:rPr>
          <w:rFonts w:ascii="Calibri" w:hAnsi="Calibri" w:cs="Calibri"/>
          <w:noProof/>
          <w:szCs w:val="24"/>
          <w:lang w:val="en-US"/>
        </w:rPr>
        <w:t xml:space="preserve">, </w:t>
      </w:r>
      <w:r w:rsidRPr="00310E46">
        <w:rPr>
          <w:rFonts w:ascii="Calibri" w:hAnsi="Calibri" w:cs="Calibri"/>
          <w:i/>
          <w:iCs/>
          <w:noProof/>
          <w:szCs w:val="24"/>
          <w:lang w:val="en-US"/>
        </w:rPr>
        <w:t>39</w:t>
      </w:r>
      <w:r w:rsidRPr="00310E46">
        <w:rPr>
          <w:rFonts w:ascii="Calibri" w:hAnsi="Calibri" w:cs="Calibri"/>
          <w:noProof/>
          <w:szCs w:val="24"/>
          <w:lang w:val="en-US"/>
        </w:rPr>
        <w:t>(4), 555–566. https://doi.org/10.1093/femsre/fuv006</w:t>
      </w:r>
    </w:p>
    <w:p w14:paraId="2E636F35"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Rojas, A., Duque, E., Schmid, A., Hurtado, A., Ramos, J. L., &amp; Segura, A. (2004). Biotransformation in double-phase systems: Physiological responses of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DOT-T1E to a double phase made of aliphatic alcohols and biosynthesis of substituted catechols. </w:t>
      </w:r>
      <w:r w:rsidRPr="00310E46">
        <w:rPr>
          <w:rFonts w:ascii="Calibri" w:hAnsi="Calibri" w:cs="Calibri"/>
          <w:i/>
          <w:iCs/>
          <w:noProof/>
          <w:szCs w:val="24"/>
          <w:lang w:val="en-US"/>
        </w:rPr>
        <w:t>Applied and 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70</w:t>
      </w:r>
      <w:r w:rsidRPr="00310E46">
        <w:rPr>
          <w:rFonts w:ascii="Calibri" w:hAnsi="Calibri" w:cs="Calibri"/>
          <w:noProof/>
          <w:szCs w:val="24"/>
          <w:lang w:val="en-US"/>
        </w:rPr>
        <w:t>(6), 3637–3643. https://doi.org/10.1128/AEM.70.6.3637-3643.2004</w:t>
      </w:r>
    </w:p>
    <w:p w14:paraId="37AE2104"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Sáez-Sáez, J., Wang, G., Marella, E. R., Sudarsan, S., Cernuda Pastor, M., &amp; Borodina, I. (2020). Engineering the oleaginous yeast </w:t>
      </w:r>
      <w:r w:rsidRPr="00310E46">
        <w:rPr>
          <w:rFonts w:ascii="Calibri" w:hAnsi="Calibri" w:cs="Calibri"/>
          <w:i/>
          <w:iCs/>
          <w:noProof/>
          <w:szCs w:val="24"/>
          <w:lang w:val="en-US"/>
        </w:rPr>
        <w:t>Yarrowia lipolytica</w:t>
      </w:r>
      <w:r w:rsidRPr="00310E46">
        <w:rPr>
          <w:rFonts w:ascii="Calibri" w:hAnsi="Calibri" w:cs="Calibri"/>
          <w:noProof/>
          <w:szCs w:val="24"/>
          <w:lang w:val="en-US"/>
        </w:rPr>
        <w:t xml:space="preserve"> for high-level resveratrol production.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62</w:t>
      </w:r>
      <w:r w:rsidRPr="00310E46">
        <w:rPr>
          <w:rFonts w:ascii="Calibri" w:hAnsi="Calibri" w:cs="Calibri"/>
          <w:noProof/>
          <w:szCs w:val="24"/>
          <w:lang w:val="en-US"/>
        </w:rPr>
        <w:t>(August), 51–61. https://doi.org/10.1016/j.ymben.2020.08.009</w:t>
      </w:r>
    </w:p>
    <w:p w14:paraId="2E356B59"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Salas-Navarrete, C., Hernández-Chávez, G., Flores, N., Martínez, L. M., Martinez, A., Bolívar, F., Barona-Gomez, F., &amp; Gosset, G. (2018). Increasing pinosylvin production in </w:t>
      </w:r>
      <w:r w:rsidRPr="00310E46">
        <w:rPr>
          <w:rFonts w:ascii="Calibri" w:hAnsi="Calibri" w:cs="Calibri"/>
          <w:i/>
          <w:iCs/>
          <w:noProof/>
          <w:szCs w:val="24"/>
          <w:lang w:val="en-US"/>
        </w:rPr>
        <w:t>Escherichia coli</w:t>
      </w:r>
      <w:r w:rsidRPr="00310E46">
        <w:rPr>
          <w:rFonts w:ascii="Calibri" w:hAnsi="Calibri" w:cs="Calibri"/>
          <w:noProof/>
          <w:szCs w:val="24"/>
          <w:lang w:val="en-US"/>
        </w:rPr>
        <w:t xml:space="preserve"> by reducing the expression level of the gene </w:t>
      </w:r>
      <w:r w:rsidRPr="00310E46">
        <w:rPr>
          <w:rFonts w:ascii="Calibri" w:hAnsi="Calibri" w:cs="Calibri"/>
          <w:i/>
          <w:iCs/>
          <w:noProof/>
          <w:szCs w:val="24"/>
          <w:lang w:val="en-US"/>
        </w:rPr>
        <w:t>fabI</w:t>
      </w:r>
      <w:r w:rsidRPr="00310E46">
        <w:rPr>
          <w:rFonts w:ascii="Calibri" w:hAnsi="Calibri" w:cs="Calibri"/>
          <w:noProof/>
          <w:szCs w:val="24"/>
          <w:lang w:val="en-US"/>
        </w:rPr>
        <w:t xml:space="preserve">-encoded enoyl-acyl carrier protein reductase. </w:t>
      </w:r>
      <w:r w:rsidRPr="00310E46">
        <w:rPr>
          <w:rFonts w:ascii="Calibri" w:hAnsi="Calibri" w:cs="Calibri"/>
          <w:i/>
          <w:iCs/>
          <w:noProof/>
          <w:szCs w:val="24"/>
          <w:lang w:val="en-US"/>
        </w:rPr>
        <w:t>Electronic Journal of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33</w:t>
      </w:r>
      <w:r w:rsidRPr="00310E46">
        <w:rPr>
          <w:rFonts w:ascii="Calibri" w:hAnsi="Calibri" w:cs="Calibri"/>
          <w:noProof/>
          <w:szCs w:val="24"/>
          <w:lang w:val="en-US"/>
        </w:rPr>
        <w:t>, 11–16. https://doi.org/10.1016/j.ejbt.2018.03.001</w:t>
      </w:r>
    </w:p>
    <w:p w14:paraId="52640774"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Sardessai, Y. N., &amp; Bhosle, S. (2004). Industrial potential of organic solvent tolerant bacteria. </w:t>
      </w:r>
      <w:r w:rsidRPr="00310E46">
        <w:rPr>
          <w:rFonts w:ascii="Calibri" w:hAnsi="Calibri" w:cs="Calibri"/>
          <w:i/>
          <w:iCs/>
          <w:noProof/>
          <w:szCs w:val="24"/>
          <w:lang w:val="en-US"/>
        </w:rPr>
        <w:t>Biotechnology Progress</w:t>
      </w:r>
      <w:r w:rsidRPr="00310E46">
        <w:rPr>
          <w:rFonts w:ascii="Calibri" w:hAnsi="Calibri" w:cs="Calibri"/>
          <w:noProof/>
          <w:szCs w:val="24"/>
          <w:lang w:val="en-US"/>
        </w:rPr>
        <w:t xml:space="preserve">, </w:t>
      </w:r>
      <w:r w:rsidRPr="00310E46">
        <w:rPr>
          <w:rFonts w:ascii="Calibri" w:hAnsi="Calibri" w:cs="Calibri"/>
          <w:i/>
          <w:iCs/>
          <w:noProof/>
          <w:szCs w:val="24"/>
          <w:lang w:val="en-US"/>
        </w:rPr>
        <w:t>20</w:t>
      </w:r>
      <w:r w:rsidRPr="00310E46">
        <w:rPr>
          <w:rFonts w:ascii="Calibri" w:hAnsi="Calibri" w:cs="Calibri"/>
          <w:noProof/>
          <w:szCs w:val="24"/>
          <w:lang w:val="en-US"/>
        </w:rPr>
        <w:t>(3), 655–660. https://doi.org/10.1021/bp0200595</w:t>
      </w:r>
    </w:p>
    <w:p w14:paraId="627EC9FA"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lastRenderedPageBreak/>
        <w:t xml:space="preserve">Schöppner, A., &amp; Kindl, H. (1984). Purification and properties of a stilbene synthase from induced cell suspension cultures of peanut. </w:t>
      </w:r>
      <w:r w:rsidRPr="00310E46">
        <w:rPr>
          <w:rFonts w:ascii="Calibri" w:hAnsi="Calibri" w:cs="Calibri"/>
          <w:i/>
          <w:iCs/>
          <w:noProof/>
          <w:szCs w:val="24"/>
          <w:lang w:val="en-US"/>
        </w:rPr>
        <w:t>Journal of Biological Chemistry</w:t>
      </w:r>
      <w:r w:rsidRPr="00310E46">
        <w:rPr>
          <w:rFonts w:ascii="Calibri" w:hAnsi="Calibri" w:cs="Calibri"/>
          <w:noProof/>
          <w:szCs w:val="24"/>
          <w:lang w:val="en-US"/>
        </w:rPr>
        <w:t xml:space="preserve">, </w:t>
      </w:r>
      <w:r w:rsidRPr="00310E46">
        <w:rPr>
          <w:rFonts w:ascii="Calibri" w:hAnsi="Calibri" w:cs="Calibri"/>
          <w:i/>
          <w:iCs/>
          <w:noProof/>
          <w:szCs w:val="24"/>
          <w:lang w:val="en-US"/>
        </w:rPr>
        <w:t>259</w:t>
      </w:r>
      <w:r w:rsidRPr="00310E46">
        <w:rPr>
          <w:rFonts w:ascii="Calibri" w:hAnsi="Calibri" w:cs="Calibri"/>
          <w:noProof/>
          <w:szCs w:val="24"/>
          <w:lang w:val="en-US"/>
        </w:rPr>
        <w:t>(11), 6806–6811.</w:t>
      </w:r>
    </w:p>
    <w:p w14:paraId="351757AF"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Schwanemann, T., Otto, M., Wierckx, N., &amp; Wynands, B. (2020). </w:t>
      </w:r>
      <w:r w:rsidRPr="00310E46">
        <w:rPr>
          <w:rFonts w:ascii="Calibri" w:hAnsi="Calibri" w:cs="Calibri"/>
          <w:i/>
          <w:iCs/>
          <w:noProof/>
          <w:szCs w:val="24"/>
          <w:lang w:val="en-US"/>
        </w:rPr>
        <w:t>Pseudomonas</w:t>
      </w:r>
      <w:r w:rsidRPr="00310E46">
        <w:rPr>
          <w:rFonts w:ascii="Calibri" w:hAnsi="Calibri" w:cs="Calibri"/>
          <w:noProof/>
          <w:szCs w:val="24"/>
          <w:lang w:val="en-US"/>
        </w:rPr>
        <w:t xml:space="preserve"> as Versatile Aromatics Cell Factory. </w:t>
      </w:r>
      <w:r w:rsidRPr="00310E46">
        <w:rPr>
          <w:rFonts w:ascii="Calibri" w:hAnsi="Calibri" w:cs="Calibri"/>
          <w:i/>
          <w:iCs/>
          <w:noProof/>
          <w:szCs w:val="24"/>
          <w:lang w:val="en-US"/>
        </w:rPr>
        <w:t>Biotechnology Journal</w:t>
      </w:r>
      <w:r w:rsidRPr="00310E46">
        <w:rPr>
          <w:rFonts w:ascii="Calibri" w:hAnsi="Calibri" w:cs="Calibri"/>
          <w:noProof/>
          <w:szCs w:val="24"/>
          <w:lang w:val="en-US"/>
        </w:rPr>
        <w:t xml:space="preserve">, </w:t>
      </w:r>
      <w:r w:rsidRPr="00310E46">
        <w:rPr>
          <w:rFonts w:ascii="Calibri" w:hAnsi="Calibri" w:cs="Calibri"/>
          <w:i/>
          <w:iCs/>
          <w:noProof/>
          <w:szCs w:val="24"/>
          <w:lang w:val="en-US"/>
        </w:rPr>
        <w:t>1900569</w:t>
      </w:r>
      <w:r w:rsidRPr="00310E46">
        <w:rPr>
          <w:rFonts w:ascii="Calibri" w:hAnsi="Calibri" w:cs="Calibri"/>
          <w:noProof/>
          <w:szCs w:val="24"/>
          <w:lang w:val="en-US"/>
        </w:rPr>
        <w:t>, 1900569. https://doi.org/10.1002/biot.201900569</w:t>
      </w:r>
    </w:p>
    <w:p w14:paraId="5B8BA29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Sikkema, J., De Bont, J. A. M., &amp; Poolman, B. (1994). Interactions of cyclic hydrocarbons with biological membranes. </w:t>
      </w:r>
      <w:r w:rsidRPr="00310E46">
        <w:rPr>
          <w:rFonts w:ascii="Calibri" w:hAnsi="Calibri" w:cs="Calibri"/>
          <w:i/>
          <w:iCs/>
          <w:noProof/>
          <w:szCs w:val="24"/>
          <w:lang w:val="en-US"/>
        </w:rPr>
        <w:t>Journal of Biological Chemistry</w:t>
      </w:r>
      <w:r w:rsidRPr="00310E46">
        <w:rPr>
          <w:rFonts w:ascii="Calibri" w:hAnsi="Calibri" w:cs="Calibri"/>
          <w:noProof/>
          <w:szCs w:val="24"/>
          <w:lang w:val="en-US"/>
        </w:rPr>
        <w:t xml:space="preserve">, </w:t>
      </w:r>
      <w:r w:rsidRPr="00310E46">
        <w:rPr>
          <w:rFonts w:ascii="Calibri" w:hAnsi="Calibri" w:cs="Calibri"/>
          <w:i/>
          <w:iCs/>
          <w:noProof/>
          <w:szCs w:val="24"/>
          <w:lang w:val="en-US"/>
        </w:rPr>
        <w:t>269</w:t>
      </w:r>
      <w:r w:rsidRPr="00310E46">
        <w:rPr>
          <w:rFonts w:ascii="Calibri" w:hAnsi="Calibri" w:cs="Calibri"/>
          <w:noProof/>
          <w:szCs w:val="24"/>
          <w:lang w:val="en-US"/>
        </w:rPr>
        <w:t>(11), 8022–8028.</w:t>
      </w:r>
    </w:p>
    <w:p w14:paraId="16E8BE9E"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Solovyev, V., &amp; Salamov, A. (2011). Automatic Annotation of Microbial Genomes and Metagenomic Sequences. In R. W. Li (Ed.), </w:t>
      </w:r>
      <w:r w:rsidRPr="00310E46">
        <w:rPr>
          <w:rFonts w:ascii="Calibri" w:hAnsi="Calibri" w:cs="Calibri"/>
          <w:i/>
          <w:iCs/>
          <w:noProof/>
          <w:szCs w:val="24"/>
          <w:lang w:val="en-US"/>
        </w:rPr>
        <w:t>Metagenomics and its Applications in Agriculture, Biomedicine and Environmental Studies</w:t>
      </w:r>
      <w:r w:rsidRPr="00310E46">
        <w:rPr>
          <w:rFonts w:ascii="Calibri" w:hAnsi="Calibri" w:cs="Calibri"/>
          <w:noProof/>
          <w:szCs w:val="24"/>
          <w:lang w:val="en-US"/>
        </w:rPr>
        <w:t xml:space="preserve"> (pp. 61–78). Nova Science Publishers. https://doi.org/10.5040/9781635577068-0083</w:t>
      </w:r>
    </w:p>
    <w:p w14:paraId="79E5655F"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Tharmasothirajan, A., Wellfonder, M., &amp; Marienhagen, J. (2021). Microbial Polyphenol Production in a Biphasic Process. </w:t>
      </w:r>
      <w:r w:rsidRPr="00310E46">
        <w:rPr>
          <w:rFonts w:ascii="Calibri" w:hAnsi="Calibri" w:cs="Calibri"/>
          <w:i/>
          <w:iCs/>
          <w:noProof/>
          <w:szCs w:val="24"/>
          <w:lang w:val="en-US"/>
        </w:rPr>
        <w:t>ACS Sustainable Chemistry and Engineering</w:t>
      </w:r>
      <w:r w:rsidRPr="00310E46">
        <w:rPr>
          <w:rFonts w:ascii="Calibri" w:hAnsi="Calibri" w:cs="Calibri"/>
          <w:noProof/>
          <w:szCs w:val="24"/>
          <w:lang w:val="en-US"/>
        </w:rPr>
        <w:t>. https://doi.org/10.1021/acssuschemeng.1c05865</w:t>
      </w:r>
    </w:p>
    <w:p w14:paraId="706EF3A1"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van Summeren-Wesenhagen, P. V., &amp; Marienhagen, J. (2015). Metabolic engineering of </w:t>
      </w:r>
      <w:r w:rsidRPr="00310E46">
        <w:rPr>
          <w:rFonts w:ascii="Calibri" w:hAnsi="Calibri" w:cs="Calibri"/>
          <w:i/>
          <w:iCs/>
          <w:noProof/>
          <w:szCs w:val="24"/>
          <w:lang w:val="en-US"/>
        </w:rPr>
        <w:t>Escherichia coli</w:t>
      </w:r>
      <w:r w:rsidRPr="00310E46">
        <w:rPr>
          <w:rFonts w:ascii="Calibri" w:hAnsi="Calibri" w:cs="Calibri"/>
          <w:noProof/>
          <w:szCs w:val="24"/>
          <w:lang w:val="en-US"/>
        </w:rPr>
        <w:t xml:space="preserve"> for the synthesis of the plant polyphenol pinosylvin. </w:t>
      </w:r>
      <w:r w:rsidRPr="00310E46">
        <w:rPr>
          <w:rFonts w:ascii="Calibri" w:hAnsi="Calibri" w:cs="Calibri"/>
          <w:i/>
          <w:iCs/>
          <w:noProof/>
          <w:szCs w:val="24"/>
          <w:lang w:val="en-US"/>
        </w:rPr>
        <w:t>Applied and Environmental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81</w:t>
      </w:r>
      <w:r w:rsidRPr="00310E46">
        <w:rPr>
          <w:rFonts w:ascii="Calibri" w:hAnsi="Calibri" w:cs="Calibri"/>
          <w:noProof/>
          <w:szCs w:val="24"/>
          <w:lang w:val="en-US"/>
        </w:rPr>
        <w:t>(3), 840–849. https://doi.org/10.1128/AEM.02966-14</w:t>
      </w:r>
    </w:p>
    <w:p w14:paraId="6B856D15"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Volke, Daniel C., Friis, L., Wirth, N. T., Turlin, J., &amp; Nikel, P. I. (2020). Synthetic control of plasmid replication enables target- and self-curing of vectors and expedites genome engineering of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w:t>
      </w:r>
      <w:r w:rsidRPr="00310E46">
        <w:rPr>
          <w:rFonts w:ascii="Calibri" w:hAnsi="Calibri" w:cs="Calibri"/>
          <w:i/>
          <w:iCs/>
          <w:noProof/>
          <w:szCs w:val="24"/>
          <w:lang w:val="en-US"/>
        </w:rPr>
        <w:lastRenderedPageBreak/>
        <w:t>Metabolic Engineering Communications</w:t>
      </w:r>
      <w:r w:rsidRPr="00310E46">
        <w:rPr>
          <w:rFonts w:ascii="Calibri" w:hAnsi="Calibri" w:cs="Calibri"/>
          <w:noProof/>
          <w:szCs w:val="24"/>
          <w:lang w:val="en-US"/>
        </w:rPr>
        <w:t xml:space="preserve">, </w:t>
      </w:r>
      <w:r w:rsidRPr="00310E46">
        <w:rPr>
          <w:rFonts w:ascii="Calibri" w:hAnsi="Calibri" w:cs="Calibri"/>
          <w:i/>
          <w:iCs/>
          <w:noProof/>
          <w:szCs w:val="24"/>
          <w:lang w:val="en-US"/>
        </w:rPr>
        <w:t>10</w:t>
      </w:r>
      <w:r w:rsidRPr="00310E46">
        <w:rPr>
          <w:rFonts w:ascii="Calibri" w:hAnsi="Calibri" w:cs="Calibri"/>
          <w:noProof/>
          <w:szCs w:val="24"/>
          <w:lang w:val="en-US"/>
        </w:rPr>
        <w:t>(January), e00126. https://doi.org/10.1016/j.mec.2020.e00126</w:t>
      </w:r>
    </w:p>
    <w:p w14:paraId="78B6B9B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Volke, Daniel Christoph, Olavarría, K., &amp; Nikel, P. I. (2021). </w:t>
      </w:r>
      <w:r w:rsidRPr="00310E46">
        <w:rPr>
          <w:rFonts w:ascii="Calibri" w:hAnsi="Calibri" w:cs="Calibri"/>
          <w:noProof/>
          <w:szCs w:val="24"/>
          <w:lang w:val="en-US"/>
        </w:rPr>
        <w:t xml:space="preserve">Cofactor Specificity of Glucose-6-Phosphate Dehydrogenase Isozymes in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Reveals a General Principle Underlying Glycolytic Strategies in Bacteria. </w:t>
      </w:r>
      <w:r w:rsidRPr="00310E46">
        <w:rPr>
          <w:rFonts w:ascii="Calibri" w:hAnsi="Calibri" w:cs="Calibri"/>
          <w:i/>
          <w:iCs/>
          <w:noProof/>
          <w:szCs w:val="24"/>
          <w:lang w:val="en-US"/>
        </w:rPr>
        <w:t>MSystems</w:t>
      </w:r>
      <w:r w:rsidRPr="00310E46">
        <w:rPr>
          <w:rFonts w:ascii="Calibri" w:hAnsi="Calibri" w:cs="Calibri"/>
          <w:noProof/>
          <w:szCs w:val="24"/>
          <w:lang w:val="en-US"/>
        </w:rPr>
        <w:t xml:space="preserve">, </w:t>
      </w:r>
      <w:r w:rsidRPr="00310E46">
        <w:rPr>
          <w:rFonts w:ascii="Calibri" w:hAnsi="Calibri" w:cs="Calibri"/>
          <w:i/>
          <w:iCs/>
          <w:noProof/>
          <w:szCs w:val="24"/>
          <w:lang w:val="en-US"/>
        </w:rPr>
        <w:t>6</w:t>
      </w:r>
      <w:r w:rsidRPr="00310E46">
        <w:rPr>
          <w:rFonts w:ascii="Calibri" w:hAnsi="Calibri" w:cs="Calibri"/>
          <w:noProof/>
          <w:szCs w:val="24"/>
          <w:lang w:val="en-US"/>
        </w:rPr>
        <w:t>(2). https://doi.org/10.1128/msystems.00014-21</w:t>
      </w:r>
    </w:p>
    <w:p w14:paraId="15004BE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Wang, J., Guleria, S., Koffas, M. A. G., &amp; Yan, Y. (2016). Microbial production of value-added nutraceuticals. </w:t>
      </w:r>
      <w:r w:rsidRPr="00310E46">
        <w:rPr>
          <w:rFonts w:ascii="Calibri" w:hAnsi="Calibri" w:cs="Calibri"/>
          <w:i/>
          <w:iCs/>
          <w:noProof/>
          <w:szCs w:val="24"/>
          <w:lang w:val="en-US"/>
        </w:rPr>
        <w:t>Current Opinion in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37</w:t>
      </w:r>
      <w:r w:rsidRPr="00310E46">
        <w:rPr>
          <w:rFonts w:ascii="Calibri" w:hAnsi="Calibri" w:cs="Calibri"/>
          <w:noProof/>
          <w:szCs w:val="24"/>
          <w:lang w:val="en-US"/>
        </w:rPr>
        <w:t>, 97–104. https://doi.org/10.1016/j.copbio.2015.11.003</w:t>
      </w:r>
    </w:p>
    <w:p w14:paraId="476D627E"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Watson, D., Lindel, D. L., &amp; Fall, R. (1983). </w:t>
      </w:r>
      <w:r w:rsidRPr="00310E46">
        <w:rPr>
          <w:rFonts w:ascii="Calibri" w:hAnsi="Calibri" w:cs="Calibri"/>
          <w:i/>
          <w:iCs/>
          <w:noProof/>
          <w:szCs w:val="24"/>
          <w:lang w:val="en-US"/>
        </w:rPr>
        <w:t>Pseudomonas aeruginosa</w:t>
      </w:r>
      <w:r w:rsidRPr="00310E46">
        <w:rPr>
          <w:rFonts w:ascii="Calibri" w:hAnsi="Calibri" w:cs="Calibri"/>
          <w:noProof/>
          <w:szCs w:val="24"/>
          <w:lang w:val="en-US"/>
        </w:rPr>
        <w:t xml:space="preserve"> contains an inducible methylcitrate synthase. </w:t>
      </w:r>
      <w:r w:rsidRPr="00310E46">
        <w:rPr>
          <w:rFonts w:ascii="Calibri" w:hAnsi="Calibri" w:cs="Calibri"/>
          <w:i/>
          <w:iCs/>
          <w:noProof/>
          <w:szCs w:val="24"/>
          <w:lang w:val="en-US"/>
        </w:rPr>
        <w:t>Current Microbiology</w:t>
      </w:r>
      <w:r w:rsidRPr="00310E46">
        <w:rPr>
          <w:rFonts w:ascii="Calibri" w:hAnsi="Calibri" w:cs="Calibri"/>
          <w:noProof/>
          <w:szCs w:val="24"/>
          <w:lang w:val="en-US"/>
        </w:rPr>
        <w:t xml:space="preserve">, </w:t>
      </w:r>
      <w:r w:rsidRPr="00310E46">
        <w:rPr>
          <w:rFonts w:ascii="Calibri" w:hAnsi="Calibri" w:cs="Calibri"/>
          <w:i/>
          <w:iCs/>
          <w:noProof/>
          <w:szCs w:val="24"/>
          <w:lang w:val="en-US"/>
        </w:rPr>
        <w:t>8</w:t>
      </w:r>
      <w:r w:rsidRPr="00310E46">
        <w:rPr>
          <w:rFonts w:ascii="Calibri" w:hAnsi="Calibri" w:cs="Calibri"/>
          <w:noProof/>
          <w:szCs w:val="24"/>
          <w:lang w:val="en-US"/>
        </w:rPr>
        <w:t>(1), 17–21. https://doi.org/10.1007/BF01567308</w:t>
      </w:r>
    </w:p>
    <w:p w14:paraId="4A6859B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Whaley, S. G., Radka, C. D., Subramanian, C., Frank, M. W., &amp; Rock, C. O. (2021). Malonyl-acyl carrier protein decarboxylase activity promotes fatty acid and cell envelope biosynthesis in Proteobacteria. </w:t>
      </w:r>
      <w:r w:rsidRPr="00310E46">
        <w:rPr>
          <w:rFonts w:ascii="Calibri" w:hAnsi="Calibri" w:cs="Calibri"/>
          <w:i/>
          <w:iCs/>
          <w:noProof/>
          <w:szCs w:val="24"/>
          <w:lang w:val="en-US"/>
        </w:rPr>
        <w:t>Journal of Biological Chemistry</w:t>
      </w:r>
      <w:r w:rsidRPr="00310E46">
        <w:rPr>
          <w:rFonts w:ascii="Calibri" w:hAnsi="Calibri" w:cs="Calibri"/>
          <w:noProof/>
          <w:szCs w:val="24"/>
          <w:lang w:val="en-US"/>
        </w:rPr>
        <w:t xml:space="preserve">, </w:t>
      </w:r>
      <w:r w:rsidRPr="00310E46">
        <w:rPr>
          <w:rFonts w:ascii="Calibri" w:hAnsi="Calibri" w:cs="Calibri"/>
          <w:i/>
          <w:iCs/>
          <w:noProof/>
          <w:szCs w:val="24"/>
          <w:lang w:val="en-US"/>
        </w:rPr>
        <w:t>297</w:t>
      </w:r>
      <w:r w:rsidRPr="00310E46">
        <w:rPr>
          <w:rFonts w:ascii="Calibri" w:hAnsi="Calibri" w:cs="Calibri"/>
          <w:noProof/>
          <w:szCs w:val="24"/>
          <w:lang w:val="en-US"/>
        </w:rPr>
        <w:t>(6), 101434. https://doi.org/10.1016/j.jbc.2021.101434</w:t>
      </w:r>
    </w:p>
    <w:p w14:paraId="20475299" w14:textId="77777777" w:rsidR="00857265" w:rsidRPr="00857265" w:rsidRDefault="00857265" w:rsidP="00B84A00">
      <w:pPr>
        <w:widowControl w:val="0"/>
        <w:autoSpaceDE w:val="0"/>
        <w:autoSpaceDN w:val="0"/>
        <w:adjustRightInd w:val="0"/>
        <w:spacing w:line="276" w:lineRule="auto"/>
        <w:ind w:left="480" w:hanging="480"/>
        <w:rPr>
          <w:rFonts w:ascii="Calibri" w:hAnsi="Calibri" w:cs="Calibri"/>
          <w:noProof/>
          <w:szCs w:val="24"/>
        </w:rPr>
      </w:pPr>
      <w:r w:rsidRPr="00310E46">
        <w:rPr>
          <w:rFonts w:ascii="Calibri" w:hAnsi="Calibri" w:cs="Calibri"/>
          <w:noProof/>
          <w:szCs w:val="24"/>
          <w:lang w:val="en-US"/>
        </w:rPr>
        <w:t xml:space="preserve">Wirth, N. T., Kozaeva, E., &amp; Nikel, P. I. (2020). Accelerated genome engineering of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by I‐</w:t>
      </w:r>
      <w:r w:rsidRPr="00310E46">
        <w:rPr>
          <w:rFonts w:ascii="Calibri" w:hAnsi="Calibri" w:cs="Calibri"/>
          <w:i/>
          <w:iCs/>
          <w:noProof/>
          <w:szCs w:val="24"/>
          <w:lang w:val="en-US"/>
        </w:rPr>
        <w:t>Sce</w:t>
      </w:r>
      <w:r w:rsidRPr="00310E46">
        <w:rPr>
          <w:rFonts w:ascii="Calibri" w:hAnsi="Calibri" w:cs="Calibri"/>
          <w:noProof/>
          <w:szCs w:val="24"/>
          <w:lang w:val="en-US"/>
        </w:rPr>
        <w:t xml:space="preserve">I―mediated recombination and CRISPR‐Cas9 counterselection. </w:t>
      </w:r>
      <w:r w:rsidRPr="00857265">
        <w:rPr>
          <w:rFonts w:ascii="Calibri" w:hAnsi="Calibri" w:cs="Calibri"/>
          <w:i/>
          <w:iCs/>
          <w:noProof/>
          <w:szCs w:val="24"/>
        </w:rPr>
        <w:t>Microbial Biotechnology</w:t>
      </w:r>
      <w:r w:rsidRPr="00857265">
        <w:rPr>
          <w:rFonts w:ascii="Calibri" w:hAnsi="Calibri" w:cs="Calibri"/>
          <w:noProof/>
          <w:szCs w:val="24"/>
        </w:rPr>
        <w:t xml:space="preserve">, </w:t>
      </w:r>
      <w:r w:rsidRPr="00857265">
        <w:rPr>
          <w:rFonts w:ascii="Calibri" w:hAnsi="Calibri" w:cs="Calibri"/>
          <w:i/>
          <w:iCs/>
          <w:noProof/>
          <w:szCs w:val="24"/>
        </w:rPr>
        <w:t>13</w:t>
      </w:r>
      <w:r w:rsidRPr="00857265">
        <w:rPr>
          <w:rFonts w:ascii="Calibri" w:hAnsi="Calibri" w:cs="Calibri"/>
          <w:noProof/>
          <w:szCs w:val="24"/>
        </w:rPr>
        <w:t>(1), 233–249. https://doi.org/10.1111/1751-7915.13396</w:t>
      </w:r>
    </w:p>
    <w:p w14:paraId="6B386E21"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Wolf, S., Becker, J., Tsuge, Y., Kawaguchi, H., Kondo, A., Marienhagen, J., Bott, M., Wendisch, V. F., &amp; Wittmann, C. (2021). </w:t>
      </w:r>
      <w:r w:rsidRPr="00310E46">
        <w:rPr>
          <w:rFonts w:ascii="Calibri" w:hAnsi="Calibri" w:cs="Calibri"/>
          <w:noProof/>
          <w:szCs w:val="24"/>
          <w:lang w:val="en-US"/>
        </w:rPr>
        <w:t xml:space="preserve">Advances in metabolic </w:t>
      </w:r>
      <w:r w:rsidRPr="00310E46">
        <w:rPr>
          <w:rFonts w:ascii="Calibri" w:hAnsi="Calibri" w:cs="Calibri"/>
          <w:noProof/>
          <w:szCs w:val="24"/>
          <w:lang w:val="en-US"/>
        </w:rPr>
        <w:lastRenderedPageBreak/>
        <w:t xml:space="preserve">engineering of </w:t>
      </w:r>
      <w:r w:rsidRPr="00310E46">
        <w:rPr>
          <w:rFonts w:ascii="Calibri" w:hAnsi="Calibri" w:cs="Calibri"/>
          <w:i/>
          <w:iCs/>
          <w:noProof/>
          <w:szCs w:val="24"/>
          <w:lang w:val="en-US"/>
        </w:rPr>
        <w:t>Corynebacterium glutamicum</w:t>
      </w:r>
      <w:r w:rsidRPr="00310E46">
        <w:rPr>
          <w:rFonts w:ascii="Calibri" w:hAnsi="Calibri" w:cs="Calibri"/>
          <w:noProof/>
          <w:szCs w:val="24"/>
          <w:lang w:val="en-US"/>
        </w:rPr>
        <w:t xml:space="preserve"> to produce high-value active ingredients for food, feed, human health, and well-being. </w:t>
      </w:r>
      <w:r w:rsidRPr="00310E46">
        <w:rPr>
          <w:rFonts w:ascii="Calibri" w:hAnsi="Calibri" w:cs="Calibri"/>
          <w:i/>
          <w:iCs/>
          <w:noProof/>
          <w:szCs w:val="24"/>
          <w:lang w:val="en-US"/>
        </w:rPr>
        <w:t>Essays in Biochemistry</w:t>
      </w:r>
      <w:r w:rsidRPr="00310E46">
        <w:rPr>
          <w:rFonts w:ascii="Calibri" w:hAnsi="Calibri" w:cs="Calibri"/>
          <w:noProof/>
          <w:szCs w:val="24"/>
          <w:lang w:val="en-US"/>
        </w:rPr>
        <w:t xml:space="preserve">, </w:t>
      </w:r>
      <w:r w:rsidRPr="00310E46">
        <w:rPr>
          <w:rFonts w:ascii="Calibri" w:hAnsi="Calibri" w:cs="Calibri"/>
          <w:i/>
          <w:iCs/>
          <w:noProof/>
          <w:szCs w:val="24"/>
          <w:lang w:val="en-US"/>
        </w:rPr>
        <w:t>0</w:t>
      </w:r>
      <w:r w:rsidRPr="00310E46">
        <w:rPr>
          <w:rFonts w:ascii="Calibri" w:hAnsi="Calibri" w:cs="Calibri"/>
          <w:noProof/>
          <w:szCs w:val="24"/>
          <w:lang w:val="en-US"/>
        </w:rPr>
        <w:t>(April), 1–16. https://doi.org/10.1042/EBC20200134</w:t>
      </w:r>
    </w:p>
    <w:p w14:paraId="6EE5CAD1"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Wynands, B., Lenzen, C., Otto, M., Koch, F., Blank, L. M., &amp; Wierckx, N. (2018). Metabolic engineering of </w:t>
      </w:r>
      <w:r w:rsidRPr="00310E46">
        <w:rPr>
          <w:rFonts w:ascii="Calibri" w:hAnsi="Calibri" w:cs="Calibri"/>
          <w:i/>
          <w:iCs/>
          <w:noProof/>
          <w:szCs w:val="24"/>
          <w:lang w:val="en-US"/>
        </w:rPr>
        <w:t>Pseudomonas taiwanensis</w:t>
      </w:r>
      <w:r w:rsidRPr="00310E46">
        <w:rPr>
          <w:rFonts w:ascii="Calibri" w:hAnsi="Calibri" w:cs="Calibri"/>
          <w:noProof/>
          <w:szCs w:val="24"/>
          <w:lang w:val="en-US"/>
        </w:rPr>
        <w:t xml:space="preserve"> VLB120 with minimal genomic modifications for high-yield phenol production.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47</w:t>
      </w:r>
      <w:r w:rsidRPr="00310E46">
        <w:rPr>
          <w:rFonts w:ascii="Calibri" w:hAnsi="Calibri" w:cs="Calibri"/>
          <w:noProof/>
          <w:szCs w:val="24"/>
          <w:lang w:val="en-US"/>
        </w:rPr>
        <w:t>(December 2017), 121–133. https://doi.org/10.1016/j.ymben.2018.03.011</w:t>
      </w:r>
    </w:p>
    <w:p w14:paraId="00A2A43F"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Wynands, B., Otto, M., Runge, N., Preckel, S., Polen, T., Blank, L. M., &amp; Wierckx, N. (2019). Streamlined </w:t>
      </w:r>
      <w:r w:rsidRPr="00310E46">
        <w:rPr>
          <w:rFonts w:ascii="Calibri" w:hAnsi="Calibri" w:cs="Calibri"/>
          <w:i/>
          <w:iCs/>
          <w:noProof/>
          <w:szCs w:val="24"/>
          <w:lang w:val="en-US"/>
        </w:rPr>
        <w:t>Pseudomonas taiwanensis</w:t>
      </w:r>
      <w:r w:rsidRPr="00310E46">
        <w:rPr>
          <w:rFonts w:ascii="Calibri" w:hAnsi="Calibri" w:cs="Calibri"/>
          <w:noProof/>
          <w:szCs w:val="24"/>
          <w:lang w:val="en-US"/>
        </w:rPr>
        <w:t xml:space="preserve"> VLB120 Chassis Strains with Improved Bioprocess Features [Research-article]. </w:t>
      </w:r>
      <w:r w:rsidRPr="00310E46">
        <w:rPr>
          <w:rFonts w:ascii="Calibri" w:hAnsi="Calibri" w:cs="Calibri"/>
          <w:i/>
          <w:iCs/>
          <w:noProof/>
          <w:szCs w:val="24"/>
          <w:lang w:val="en-US"/>
        </w:rPr>
        <w:t>ACS Synthetic Biology</w:t>
      </w:r>
      <w:r w:rsidRPr="00310E46">
        <w:rPr>
          <w:rFonts w:ascii="Calibri" w:hAnsi="Calibri" w:cs="Calibri"/>
          <w:noProof/>
          <w:szCs w:val="24"/>
          <w:lang w:val="en-US"/>
        </w:rPr>
        <w:t xml:space="preserve">, </w:t>
      </w:r>
      <w:r w:rsidRPr="00310E46">
        <w:rPr>
          <w:rFonts w:ascii="Calibri" w:hAnsi="Calibri" w:cs="Calibri"/>
          <w:i/>
          <w:iCs/>
          <w:noProof/>
          <w:szCs w:val="24"/>
          <w:lang w:val="en-US"/>
        </w:rPr>
        <w:t>8</w:t>
      </w:r>
      <w:r w:rsidRPr="00310E46">
        <w:rPr>
          <w:rFonts w:ascii="Calibri" w:hAnsi="Calibri" w:cs="Calibri"/>
          <w:noProof/>
          <w:szCs w:val="24"/>
          <w:lang w:val="en-US"/>
        </w:rPr>
        <w:t>(9), 2036–2050. https://doi.org/10.1021/acssynbio.9b00108</w:t>
      </w:r>
    </w:p>
    <w:p w14:paraId="7A83C326"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Yang, D., Eun, H., Prabowo, C. P. S., Cho, S., &amp; Lee, S. Y. (2022). Metabolic and cellular engineering for the production of natural products. </w:t>
      </w:r>
      <w:r w:rsidRPr="00310E46">
        <w:rPr>
          <w:rFonts w:ascii="Calibri" w:hAnsi="Calibri" w:cs="Calibri"/>
          <w:i/>
          <w:iCs/>
          <w:noProof/>
          <w:szCs w:val="24"/>
          <w:lang w:val="en-US"/>
        </w:rPr>
        <w:t>Current Opinion in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77</w:t>
      </w:r>
      <w:r w:rsidRPr="00310E46">
        <w:rPr>
          <w:rFonts w:ascii="Calibri" w:hAnsi="Calibri" w:cs="Calibri"/>
          <w:noProof/>
          <w:szCs w:val="24"/>
          <w:lang w:val="en-US"/>
        </w:rPr>
        <w:t>, 102760. https://doi.org/10.1016/J.COPBIO.2022.102760</w:t>
      </w:r>
    </w:p>
    <w:p w14:paraId="2BE286D6"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Yang, D., Kim, W. J., Yoo, S. M., Choi, J. H., Ha, S. H., Lee, M. H., &amp; Lee, S. Y. (2018). Repurposing type III polyketide synthase as a malonyl-CoA biosensor for metabolic engineering in bacteria. </w:t>
      </w:r>
      <w:r w:rsidRPr="00310E46">
        <w:rPr>
          <w:rFonts w:ascii="Calibri" w:hAnsi="Calibri" w:cs="Calibri"/>
          <w:i/>
          <w:iCs/>
          <w:noProof/>
          <w:szCs w:val="24"/>
          <w:lang w:val="en-US"/>
        </w:rPr>
        <w:t>Proceedings of the National Academy of Sciences</w:t>
      </w:r>
      <w:r w:rsidRPr="00310E46">
        <w:rPr>
          <w:rFonts w:ascii="Calibri" w:hAnsi="Calibri" w:cs="Calibri"/>
          <w:noProof/>
          <w:szCs w:val="24"/>
          <w:lang w:val="en-US"/>
        </w:rPr>
        <w:t xml:space="preserve">, </w:t>
      </w:r>
      <w:r w:rsidRPr="00310E46">
        <w:rPr>
          <w:rFonts w:ascii="Calibri" w:hAnsi="Calibri" w:cs="Calibri"/>
          <w:i/>
          <w:iCs/>
          <w:noProof/>
          <w:szCs w:val="24"/>
          <w:lang w:val="en-US"/>
        </w:rPr>
        <w:t>115</w:t>
      </w:r>
      <w:r w:rsidRPr="00310E46">
        <w:rPr>
          <w:rFonts w:ascii="Calibri" w:hAnsi="Calibri" w:cs="Calibri"/>
          <w:noProof/>
          <w:szCs w:val="24"/>
          <w:lang w:val="en-US"/>
        </w:rPr>
        <w:t>(40), 9835–9844. https://doi.org/10.1073/pnas.1808567115</w:t>
      </w:r>
    </w:p>
    <w:p w14:paraId="2C5B92B0"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Yang, D., Park, S. Y., Park, Y. S., Eun, H., &amp; Lee, S. Y. (2020). Metabolic Engineering of </w:t>
      </w:r>
      <w:r w:rsidRPr="00310E46">
        <w:rPr>
          <w:rFonts w:ascii="Calibri" w:hAnsi="Calibri" w:cs="Calibri"/>
          <w:i/>
          <w:iCs/>
          <w:noProof/>
          <w:szCs w:val="24"/>
          <w:lang w:val="en-US"/>
        </w:rPr>
        <w:t>Escherichia coli</w:t>
      </w:r>
      <w:r w:rsidRPr="00310E46">
        <w:rPr>
          <w:rFonts w:ascii="Calibri" w:hAnsi="Calibri" w:cs="Calibri"/>
          <w:noProof/>
          <w:szCs w:val="24"/>
          <w:lang w:val="en-US"/>
        </w:rPr>
        <w:t xml:space="preserve"> for Natural Product Biosynthesis. </w:t>
      </w:r>
      <w:r w:rsidRPr="00310E46">
        <w:rPr>
          <w:rFonts w:ascii="Calibri" w:hAnsi="Calibri" w:cs="Calibri"/>
          <w:i/>
          <w:iCs/>
          <w:noProof/>
          <w:szCs w:val="24"/>
          <w:lang w:val="en-US"/>
        </w:rPr>
        <w:t xml:space="preserve">Trends in </w:t>
      </w:r>
      <w:r w:rsidRPr="00310E46">
        <w:rPr>
          <w:rFonts w:ascii="Calibri" w:hAnsi="Calibri" w:cs="Calibri"/>
          <w:i/>
          <w:iCs/>
          <w:noProof/>
          <w:szCs w:val="24"/>
          <w:lang w:val="en-US"/>
        </w:rPr>
        <w:lastRenderedPageBreak/>
        <w:t>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38</w:t>
      </w:r>
      <w:r w:rsidRPr="00310E46">
        <w:rPr>
          <w:rFonts w:ascii="Calibri" w:hAnsi="Calibri" w:cs="Calibri"/>
          <w:noProof/>
          <w:szCs w:val="24"/>
          <w:lang w:val="en-US"/>
        </w:rPr>
        <w:t>(7), 745–765. https://doi.org/10.1016/j.tibtech.2019.11.007</w:t>
      </w:r>
    </w:p>
    <w:p w14:paraId="501746B3"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Yang, F., &amp; Cao, Y. (2012). Biosynthesis of phloroglucinol compounds in microorganisms - Review. </w:t>
      </w:r>
      <w:r w:rsidRPr="00310E46">
        <w:rPr>
          <w:rFonts w:ascii="Calibri" w:hAnsi="Calibri" w:cs="Calibri"/>
          <w:i/>
          <w:iCs/>
          <w:noProof/>
          <w:szCs w:val="24"/>
          <w:lang w:val="en-US"/>
        </w:rPr>
        <w:t>Applied Microbiology and Biotechnology</w:t>
      </w:r>
      <w:r w:rsidRPr="00310E46">
        <w:rPr>
          <w:rFonts w:ascii="Calibri" w:hAnsi="Calibri" w:cs="Calibri"/>
          <w:noProof/>
          <w:szCs w:val="24"/>
          <w:lang w:val="en-US"/>
        </w:rPr>
        <w:t xml:space="preserve">, </w:t>
      </w:r>
      <w:r w:rsidRPr="00310E46">
        <w:rPr>
          <w:rFonts w:ascii="Calibri" w:hAnsi="Calibri" w:cs="Calibri"/>
          <w:i/>
          <w:iCs/>
          <w:noProof/>
          <w:szCs w:val="24"/>
          <w:lang w:val="en-US"/>
        </w:rPr>
        <w:t>93</w:t>
      </w:r>
      <w:r w:rsidRPr="00310E46">
        <w:rPr>
          <w:rFonts w:ascii="Calibri" w:hAnsi="Calibri" w:cs="Calibri"/>
          <w:noProof/>
          <w:szCs w:val="24"/>
          <w:lang w:val="en-US"/>
        </w:rPr>
        <w:t>(2), 487–495. https://doi.org/10.1007/s00253-011-3712-6</w:t>
      </w:r>
    </w:p>
    <w:p w14:paraId="280015E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Zha, W., Rubin-Pitel, S. B., Shao, Z., &amp; Zhao, H. (2009). Improving cellular malonyl-CoA level in </w:t>
      </w:r>
      <w:r w:rsidRPr="00310E46">
        <w:rPr>
          <w:rFonts w:ascii="Calibri" w:hAnsi="Calibri" w:cs="Calibri"/>
          <w:i/>
          <w:iCs/>
          <w:noProof/>
          <w:szCs w:val="24"/>
          <w:lang w:val="en-US"/>
        </w:rPr>
        <w:t>Escherichia coli</w:t>
      </w:r>
      <w:r w:rsidRPr="00310E46">
        <w:rPr>
          <w:rFonts w:ascii="Calibri" w:hAnsi="Calibri" w:cs="Calibri"/>
          <w:noProof/>
          <w:szCs w:val="24"/>
          <w:lang w:val="en-US"/>
        </w:rPr>
        <w:t xml:space="preserve"> via metabolic engineering. </w:t>
      </w:r>
      <w:r w:rsidRPr="00310E46">
        <w:rPr>
          <w:rFonts w:ascii="Calibri" w:hAnsi="Calibri" w:cs="Calibri"/>
          <w:i/>
          <w:iCs/>
          <w:noProof/>
          <w:szCs w:val="24"/>
          <w:lang w:val="en-US"/>
        </w:rPr>
        <w:t>Metabolic Engineering</w:t>
      </w:r>
      <w:r w:rsidRPr="00310E46">
        <w:rPr>
          <w:rFonts w:ascii="Calibri" w:hAnsi="Calibri" w:cs="Calibri"/>
          <w:noProof/>
          <w:szCs w:val="24"/>
          <w:lang w:val="en-US"/>
        </w:rPr>
        <w:t xml:space="preserve">, </w:t>
      </w:r>
      <w:r w:rsidRPr="00310E46">
        <w:rPr>
          <w:rFonts w:ascii="Calibri" w:hAnsi="Calibri" w:cs="Calibri"/>
          <w:i/>
          <w:iCs/>
          <w:noProof/>
          <w:szCs w:val="24"/>
          <w:lang w:val="en-US"/>
        </w:rPr>
        <w:t>11</w:t>
      </w:r>
      <w:r w:rsidRPr="00310E46">
        <w:rPr>
          <w:rFonts w:ascii="Calibri" w:hAnsi="Calibri" w:cs="Calibri"/>
          <w:noProof/>
          <w:szCs w:val="24"/>
          <w:lang w:val="en-US"/>
        </w:rPr>
        <w:t>(3), 192–198. https://doi.org/10.1016/j.ymben.2009.01.005</w:t>
      </w:r>
    </w:p>
    <w:p w14:paraId="2655D0DC"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310E46">
        <w:rPr>
          <w:rFonts w:ascii="Calibri" w:hAnsi="Calibri" w:cs="Calibri"/>
          <w:noProof/>
          <w:szCs w:val="24"/>
          <w:lang w:val="en-US"/>
        </w:rPr>
        <w:t xml:space="preserve">Zhao, Y., Wu, B. H., Liu, Z. N., Qiao, J., &amp; Zhao, G. R. (2018). Combinatorial Optimization of Resveratrol Production in Engineered </w:t>
      </w:r>
      <w:r w:rsidRPr="00310E46">
        <w:rPr>
          <w:rFonts w:ascii="Calibri" w:hAnsi="Calibri" w:cs="Calibri"/>
          <w:i/>
          <w:iCs/>
          <w:noProof/>
          <w:szCs w:val="24"/>
          <w:lang w:val="en-US"/>
        </w:rPr>
        <w:t>E. coli</w:t>
      </w:r>
      <w:r w:rsidRPr="00310E46">
        <w:rPr>
          <w:rFonts w:ascii="Calibri" w:hAnsi="Calibri" w:cs="Calibri"/>
          <w:noProof/>
          <w:szCs w:val="24"/>
          <w:lang w:val="en-US"/>
        </w:rPr>
        <w:t xml:space="preserve"> [Research-article]. </w:t>
      </w:r>
      <w:r w:rsidRPr="00310E46">
        <w:rPr>
          <w:rFonts w:ascii="Calibri" w:hAnsi="Calibri" w:cs="Calibri"/>
          <w:i/>
          <w:iCs/>
          <w:noProof/>
          <w:szCs w:val="24"/>
          <w:lang w:val="en-US"/>
        </w:rPr>
        <w:t>Journal of Agricultural and Food Chemistry</w:t>
      </w:r>
      <w:r w:rsidRPr="00310E46">
        <w:rPr>
          <w:rFonts w:ascii="Calibri" w:hAnsi="Calibri" w:cs="Calibri"/>
          <w:noProof/>
          <w:szCs w:val="24"/>
          <w:lang w:val="en-US"/>
        </w:rPr>
        <w:t xml:space="preserve">, </w:t>
      </w:r>
      <w:r w:rsidRPr="00310E46">
        <w:rPr>
          <w:rFonts w:ascii="Calibri" w:hAnsi="Calibri" w:cs="Calibri"/>
          <w:i/>
          <w:iCs/>
          <w:noProof/>
          <w:szCs w:val="24"/>
          <w:lang w:val="en-US"/>
        </w:rPr>
        <w:t>66</w:t>
      </w:r>
      <w:r w:rsidRPr="00310E46">
        <w:rPr>
          <w:rFonts w:ascii="Calibri" w:hAnsi="Calibri" w:cs="Calibri"/>
          <w:noProof/>
          <w:szCs w:val="24"/>
          <w:lang w:val="en-US"/>
        </w:rPr>
        <w:t>(51), 13444–13453. https://doi.org/10.1021/acs.jafc.8b05014</w:t>
      </w:r>
    </w:p>
    <w:p w14:paraId="453A3E65" w14:textId="77777777" w:rsidR="00857265" w:rsidRPr="00310E46" w:rsidRDefault="00857265" w:rsidP="00B84A00">
      <w:pPr>
        <w:widowControl w:val="0"/>
        <w:autoSpaceDE w:val="0"/>
        <w:autoSpaceDN w:val="0"/>
        <w:adjustRightInd w:val="0"/>
        <w:spacing w:line="276" w:lineRule="auto"/>
        <w:ind w:left="480" w:hanging="480"/>
        <w:rPr>
          <w:rFonts w:ascii="Calibri" w:hAnsi="Calibri" w:cs="Calibri"/>
          <w:noProof/>
          <w:szCs w:val="24"/>
          <w:lang w:val="en-US"/>
        </w:rPr>
      </w:pPr>
      <w:r w:rsidRPr="00857265">
        <w:rPr>
          <w:rFonts w:ascii="Calibri" w:hAnsi="Calibri" w:cs="Calibri"/>
          <w:noProof/>
          <w:szCs w:val="24"/>
        </w:rPr>
        <w:t xml:space="preserve">Zobel, S., Benedetti, I., Eisenbach, L., De Lorenzo, V., Wierckx, N., &amp; Blank, L. M. (2015). </w:t>
      </w:r>
      <w:r w:rsidRPr="00310E46">
        <w:rPr>
          <w:rFonts w:ascii="Calibri" w:hAnsi="Calibri" w:cs="Calibri"/>
          <w:noProof/>
          <w:szCs w:val="24"/>
          <w:lang w:val="en-US"/>
        </w:rPr>
        <w:t xml:space="preserve">Tn7-Based Device for Calibrated Heterologous Gene Expression in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w:t>
      </w:r>
      <w:r w:rsidRPr="00310E46">
        <w:rPr>
          <w:rFonts w:ascii="Calibri" w:hAnsi="Calibri" w:cs="Calibri"/>
          <w:i/>
          <w:iCs/>
          <w:noProof/>
          <w:szCs w:val="24"/>
          <w:lang w:val="en-US"/>
        </w:rPr>
        <w:t>ACS Synthetic Biology</w:t>
      </w:r>
      <w:r w:rsidRPr="00310E46">
        <w:rPr>
          <w:rFonts w:ascii="Calibri" w:hAnsi="Calibri" w:cs="Calibri"/>
          <w:noProof/>
          <w:szCs w:val="24"/>
          <w:lang w:val="en-US"/>
        </w:rPr>
        <w:t xml:space="preserve">, </w:t>
      </w:r>
      <w:r w:rsidRPr="00310E46">
        <w:rPr>
          <w:rFonts w:ascii="Calibri" w:hAnsi="Calibri" w:cs="Calibri"/>
          <w:i/>
          <w:iCs/>
          <w:noProof/>
          <w:szCs w:val="24"/>
          <w:lang w:val="en-US"/>
        </w:rPr>
        <w:t>4</w:t>
      </w:r>
      <w:r w:rsidRPr="00310E46">
        <w:rPr>
          <w:rFonts w:ascii="Calibri" w:hAnsi="Calibri" w:cs="Calibri"/>
          <w:noProof/>
          <w:szCs w:val="24"/>
          <w:lang w:val="en-US"/>
        </w:rPr>
        <w:t>(12), 1341–1351. https://doi.org/10.1021/acssynbio.5b00058</w:t>
      </w:r>
    </w:p>
    <w:p w14:paraId="6678848D" w14:textId="77777777" w:rsidR="00857265" w:rsidRPr="00B84A00" w:rsidRDefault="00857265" w:rsidP="00B84A00">
      <w:pPr>
        <w:widowControl w:val="0"/>
        <w:autoSpaceDE w:val="0"/>
        <w:autoSpaceDN w:val="0"/>
        <w:adjustRightInd w:val="0"/>
        <w:spacing w:line="276" w:lineRule="auto"/>
        <w:ind w:left="480" w:hanging="480"/>
        <w:rPr>
          <w:rFonts w:ascii="Calibri" w:hAnsi="Calibri" w:cs="Calibri"/>
          <w:noProof/>
          <w:lang w:val="en-US"/>
        </w:rPr>
      </w:pPr>
      <w:r w:rsidRPr="00310E46">
        <w:rPr>
          <w:rFonts w:ascii="Calibri" w:hAnsi="Calibri" w:cs="Calibri"/>
          <w:noProof/>
          <w:szCs w:val="24"/>
          <w:lang w:val="en-US"/>
        </w:rPr>
        <w:t xml:space="preserve">Zobel, S., Kuepper, J., Ebert, B., Wierckx, N., &amp; Blank, L. M. (2017). Metabolic response of </w:t>
      </w:r>
      <w:r w:rsidRPr="00310E46">
        <w:rPr>
          <w:rFonts w:ascii="Calibri" w:hAnsi="Calibri" w:cs="Calibri"/>
          <w:i/>
          <w:iCs/>
          <w:noProof/>
          <w:szCs w:val="24"/>
          <w:lang w:val="en-US"/>
        </w:rPr>
        <w:t>Pseudomonas putida</w:t>
      </w:r>
      <w:r w:rsidRPr="00310E46">
        <w:rPr>
          <w:rFonts w:ascii="Calibri" w:hAnsi="Calibri" w:cs="Calibri"/>
          <w:noProof/>
          <w:szCs w:val="24"/>
          <w:lang w:val="en-US"/>
        </w:rPr>
        <w:t xml:space="preserve"> to increased NADH regeneration rates. </w:t>
      </w:r>
      <w:r w:rsidRPr="00B84A00">
        <w:rPr>
          <w:rFonts w:ascii="Calibri" w:hAnsi="Calibri" w:cs="Calibri"/>
          <w:i/>
          <w:iCs/>
          <w:noProof/>
          <w:szCs w:val="24"/>
          <w:lang w:val="en-US"/>
        </w:rPr>
        <w:t>Engineering in Life Sciences</w:t>
      </w:r>
      <w:r w:rsidRPr="00B84A00">
        <w:rPr>
          <w:rFonts w:ascii="Calibri" w:hAnsi="Calibri" w:cs="Calibri"/>
          <w:noProof/>
          <w:szCs w:val="24"/>
          <w:lang w:val="en-US"/>
        </w:rPr>
        <w:t xml:space="preserve">, </w:t>
      </w:r>
      <w:r w:rsidRPr="00B84A00">
        <w:rPr>
          <w:rFonts w:ascii="Calibri" w:hAnsi="Calibri" w:cs="Calibri"/>
          <w:i/>
          <w:iCs/>
          <w:noProof/>
          <w:szCs w:val="24"/>
          <w:lang w:val="en-US"/>
        </w:rPr>
        <w:t>17</w:t>
      </w:r>
      <w:r w:rsidRPr="00B84A00">
        <w:rPr>
          <w:rFonts w:ascii="Calibri" w:hAnsi="Calibri" w:cs="Calibri"/>
          <w:noProof/>
          <w:szCs w:val="24"/>
          <w:lang w:val="en-US"/>
        </w:rPr>
        <w:t>(1), 47–57. https://doi.org/10.1002/elsc.201600072</w:t>
      </w:r>
    </w:p>
    <w:p w14:paraId="4E9E2D63" w14:textId="4F6C4004" w:rsidR="002F4A57" w:rsidRDefault="00A415BB" w:rsidP="00B84A00">
      <w:pPr>
        <w:spacing w:line="276" w:lineRule="auto"/>
        <w:jc w:val="both"/>
        <w:rPr>
          <w:lang w:val="en-US"/>
        </w:rPr>
      </w:pPr>
      <w:r w:rsidRPr="002A6BF2">
        <w:rPr>
          <w:lang w:val="en-US"/>
        </w:rPr>
        <w:fldChar w:fldCharType="end"/>
      </w:r>
    </w:p>
    <w:p w14:paraId="2C15C145" w14:textId="77777777" w:rsidR="00AE654E" w:rsidRDefault="00AE654E" w:rsidP="00B84A00">
      <w:pPr>
        <w:spacing w:line="276" w:lineRule="auto"/>
        <w:rPr>
          <w:lang w:val="en-US"/>
        </w:rPr>
        <w:sectPr w:rsidR="00AE654E" w:rsidSect="004164A6">
          <w:headerReference w:type="default" r:id="rId17"/>
          <w:footerReference w:type="default" r:id="rId18"/>
          <w:pgSz w:w="11906" w:h="16838"/>
          <w:pgMar w:top="1417" w:right="1417" w:bottom="1134" w:left="1417" w:header="708" w:footer="708" w:gutter="0"/>
          <w:cols w:space="708"/>
          <w:docGrid w:linePitch="360"/>
        </w:sectPr>
      </w:pPr>
      <w:r>
        <w:rPr>
          <w:lang w:val="en-US"/>
        </w:rPr>
        <w:br w:type="page"/>
      </w:r>
    </w:p>
    <w:p w14:paraId="73D2A25A" w14:textId="77777777" w:rsidR="00AE654E" w:rsidRPr="008441F8" w:rsidRDefault="00AE654E" w:rsidP="00B84A00">
      <w:pPr>
        <w:pStyle w:val="berschrift1"/>
        <w:spacing w:line="276" w:lineRule="auto"/>
        <w:rPr>
          <w:lang w:val="en-US"/>
        </w:rPr>
      </w:pPr>
      <w:bookmarkStart w:id="3" w:name="_Toc132047257"/>
      <w:r w:rsidRPr="00AE654E">
        <w:rPr>
          <w:rStyle w:val="author-a-irz85zz75zl273u8z80z86qqz65z"/>
          <w:lang w:val="en-US"/>
        </w:rPr>
        <w:lastRenderedPageBreak/>
        <w:t>Supporting information to article “</w:t>
      </w:r>
      <w:r w:rsidRPr="008441F8">
        <w:rPr>
          <w:lang w:val="en-US"/>
        </w:rPr>
        <w:t xml:space="preserve">A </w:t>
      </w:r>
      <w:r w:rsidRPr="008441F8">
        <w:rPr>
          <w:i/>
          <w:lang w:val="en-US"/>
        </w:rPr>
        <w:t>Pseudomonas taiwanensis</w:t>
      </w:r>
      <w:r w:rsidRPr="008441F8">
        <w:rPr>
          <w:lang w:val="en-US"/>
        </w:rPr>
        <w:t xml:space="preserve"> </w:t>
      </w:r>
      <w:r>
        <w:rPr>
          <w:lang w:val="en-US"/>
        </w:rPr>
        <w:t>m</w:t>
      </w:r>
      <w:r w:rsidRPr="008441F8">
        <w:rPr>
          <w:lang w:val="en-US"/>
        </w:rPr>
        <w:t xml:space="preserve">alonyl-CoA </w:t>
      </w:r>
      <w:r>
        <w:rPr>
          <w:lang w:val="en-US"/>
        </w:rPr>
        <w:t>p</w:t>
      </w:r>
      <w:r w:rsidRPr="008441F8">
        <w:rPr>
          <w:lang w:val="en-US"/>
        </w:rPr>
        <w:t xml:space="preserve">latform </w:t>
      </w:r>
      <w:r>
        <w:rPr>
          <w:lang w:val="en-US"/>
        </w:rPr>
        <w:t>s</w:t>
      </w:r>
      <w:r w:rsidRPr="008441F8">
        <w:rPr>
          <w:lang w:val="en-US"/>
        </w:rPr>
        <w:t xml:space="preserve">train for </w:t>
      </w:r>
      <w:r>
        <w:rPr>
          <w:lang w:val="en-US"/>
        </w:rPr>
        <w:t>p</w:t>
      </w:r>
      <w:r w:rsidRPr="008441F8">
        <w:rPr>
          <w:lang w:val="en-US"/>
        </w:rPr>
        <w:t xml:space="preserve">olyketide </w:t>
      </w:r>
      <w:r>
        <w:rPr>
          <w:lang w:val="en-US"/>
        </w:rPr>
        <w:t>s</w:t>
      </w:r>
      <w:r w:rsidRPr="008441F8">
        <w:rPr>
          <w:lang w:val="en-US"/>
        </w:rPr>
        <w:t>ynthesis</w:t>
      </w:r>
      <w:r w:rsidRPr="00AE654E">
        <w:rPr>
          <w:rStyle w:val="author-a-irz85zz75zl273u8z80z86qqz65z"/>
          <w:lang w:val="en-US"/>
        </w:rPr>
        <w:t>”</w:t>
      </w:r>
      <w:bookmarkEnd w:id="3"/>
    </w:p>
    <w:p w14:paraId="72AB3AB9" w14:textId="77777777" w:rsidR="00AE654E" w:rsidRPr="008441F8" w:rsidRDefault="00AE654E" w:rsidP="00B84A00">
      <w:pPr>
        <w:spacing w:line="276" w:lineRule="auto"/>
        <w:jc w:val="both"/>
        <w:rPr>
          <w:lang w:val="en-US"/>
        </w:rPr>
      </w:pPr>
    </w:p>
    <w:p w14:paraId="2DF8B7EE" w14:textId="77777777" w:rsidR="00AE654E" w:rsidRPr="008441F8" w:rsidRDefault="00AE654E" w:rsidP="00B84A00">
      <w:pPr>
        <w:spacing w:line="276" w:lineRule="auto"/>
        <w:jc w:val="both"/>
        <w:rPr>
          <w:rFonts w:cs="Arial"/>
          <w:lang w:val="en-US"/>
        </w:rPr>
      </w:pPr>
      <w:r w:rsidRPr="008441F8">
        <w:rPr>
          <w:rFonts w:cs="Arial"/>
          <w:lang w:val="en-US"/>
        </w:rPr>
        <w:t>Tobias Schwanemann</w:t>
      </w:r>
      <w:r w:rsidRPr="008441F8">
        <w:rPr>
          <w:rFonts w:cs="Arial"/>
          <w:vertAlign w:val="superscript"/>
          <w:lang w:val="en-US"/>
        </w:rPr>
        <w:t>a</w:t>
      </w:r>
      <w:r w:rsidRPr="008441F8">
        <w:rPr>
          <w:rFonts w:cs="Arial"/>
          <w:lang w:val="en-US"/>
        </w:rPr>
        <w:t>, Maike Otto</w:t>
      </w:r>
      <w:r w:rsidRPr="008441F8">
        <w:rPr>
          <w:rFonts w:cs="Arial"/>
          <w:vertAlign w:val="superscript"/>
          <w:lang w:val="en-US"/>
        </w:rPr>
        <w:t>a</w:t>
      </w:r>
      <w:r w:rsidRPr="008441F8">
        <w:rPr>
          <w:rFonts w:cs="Arial"/>
          <w:lang w:val="en-US"/>
        </w:rPr>
        <w:t>, Benedikt Wynands</w:t>
      </w:r>
      <w:r w:rsidRPr="008441F8">
        <w:rPr>
          <w:rFonts w:cs="Arial"/>
          <w:vertAlign w:val="superscript"/>
          <w:lang w:val="en-US"/>
        </w:rPr>
        <w:t>a</w:t>
      </w:r>
      <w:r w:rsidRPr="008441F8">
        <w:rPr>
          <w:rFonts w:cs="Arial"/>
          <w:lang w:val="en-US"/>
        </w:rPr>
        <w:t>, Jan Marienhagen</w:t>
      </w:r>
      <w:r w:rsidRPr="008441F8">
        <w:rPr>
          <w:rFonts w:cs="Arial"/>
          <w:vertAlign w:val="superscript"/>
          <w:lang w:val="en-US"/>
        </w:rPr>
        <w:t>a,b</w:t>
      </w:r>
      <w:r w:rsidRPr="008441F8">
        <w:rPr>
          <w:rFonts w:cs="Arial"/>
          <w:lang w:val="en-US"/>
        </w:rPr>
        <w:t xml:space="preserve"> and Nick Wierckx</w:t>
      </w:r>
      <w:r w:rsidRPr="008441F8">
        <w:rPr>
          <w:rFonts w:cs="Arial"/>
          <w:vertAlign w:val="superscript"/>
          <w:lang w:val="en-US"/>
        </w:rPr>
        <w:t>a</w:t>
      </w:r>
      <w:r w:rsidRPr="008441F8">
        <w:rPr>
          <w:rFonts w:ascii="Cambria" w:hAnsi="Cambria"/>
          <w:vertAlign w:val="superscript"/>
          <w:lang w:val="en-US"/>
        </w:rPr>
        <w:t>‡</w:t>
      </w:r>
    </w:p>
    <w:p w14:paraId="39B4EE84" w14:textId="77777777" w:rsidR="00AE654E" w:rsidRPr="008441F8" w:rsidRDefault="00AE654E" w:rsidP="00B84A00">
      <w:pPr>
        <w:spacing w:line="276" w:lineRule="auto"/>
        <w:jc w:val="both"/>
        <w:rPr>
          <w:rFonts w:cs="Arial"/>
          <w:sz w:val="18"/>
          <w:lang w:val="en-US"/>
        </w:rPr>
      </w:pPr>
      <w:r w:rsidRPr="008441F8">
        <w:rPr>
          <w:rFonts w:cs="Arial"/>
          <w:sz w:val="18"/>
          <w:vertAlign w:val="superscript"/>
          <w:lang w:val="en-US"/>
        </w:rPr>
        <w:t>a</w:t>
      </w:r>
      <w:r w:rsidRPr="008441F8">
        <w:rPr>
          <w:rFonts w:cs="Arial"/>
          <w:sz w:val="18"/>
          <w:lang w:val="en-US"/>
        </w:rPr>
        <w:t>Institute of Bio- and Geosciences, IBG-1: Biotechnology, Forschungszentrum Jülich GmbH, 52425 Jülich, Germany</w:t>
      </w:r>
    </w:p>
    <w:p w14:paraId="6D2F1B9C" w14:textId="77777777" w:rsidR="00AE654E" w:rsidRPr="008441F8" w:rsidRDefault="00AE654E" w:rsidP="00B84A00">
      <w:pPr>
        <w:spacing w:line="276" w:lineRule="auto"/>
        <w:jc w:val="both"/>
        <w:rPr>
          <w:rFonts w:cs="Arial"/>
          <w:sz w:val="18"/>
          <w:lang w:val="en-US"/>
        </w:rPr>
      </w:pPr>
      <w:r w:rsidRPr="008441F8">
        <w:rPr>
          <w:rFonts w:cs="Arial"/>
          <w:sz w:val="18"/>
          <w:vertAlign w:val="superscript"/>
          <w:lang w:val="en-US"/>
        </w:rPr>
        <w:t>b</w:t>
      </w:r>
      <w:r w:rsidRPr="008441F8">
        <w:rPr>
          <w:rFonts w:cs="Arial"/>
          <w:sz w:val="18"/>
          <w:lang w:val="en-US"/>
        </w:rPr>
        <w:t>Institute of Biotechnology, RWTH Aachen University, Worringer Weg 3, D-52074 Aachen, Germany</w:t>
      </w:r>
    </w:p>
    <w:p w14:paraId="434331D3" w14:textId="77777777" w:rsidR="00AE654E" w:rsidRPr="008441F8" w:rsidRDefault="00AE654E" w:rsidP="00B84A00">
      <w:pPr>
        <w:spacing w:line="276" w:lineRule="auto"/>
        <w:jc w:val="both"/>
        <w:rPr>
          <w:rFonts w:cs="Arial"/>
          <w:lang w:val="en-US"/>
        </w:rPr>
      </w:pPr>
    </w:p>
    <w:p w14:paraId="03DB32C3" w14:textId="77777777" w:rsidR="00AE654E" w:rsidRPr="008441F8" w:rsidRDefault="00AE654E" w:rsidP="00B84A00">
      <w:pPr>
        <w:spacing w:line="276" w:lineRule="auto"/>
        <w:jc w:val="both"/>
        <w:rPr>
          <w:rFonts w:cs="Arial"/>
          <w:lang w:val="en-US"/>
        </w:rPr>
      </w:pPr>
      <w:r w:rsidRPr="008441F8">
        <w:rPr>
          <w:rFonts w:ascii="Cambria" w:hAnsi="Cambria"/>
          <w:vertAlign w:val="superscript"/>
          <w:lang w:val="en-US"/>
        </w:rPr>
        <w:t>‡</w:t>
      </w:r>
      <w:r w:rsidRPr="008441F8">
        <w:rPr>
          <w:rFonts w:ascii="Cambria" w:hAnsi="Cambria"/>
          <w:lang w:val="en-US"/>
        </w:rPr>
        <w:t xml:space="preserve"> </w:t>
      </w:r>
      <w:r w:rsidRPr="008441F8">
        <w:rPr>
          <w:rFonts w:cs="Arial"/>
          <w:lang w:val="en-US"/>
        </w:rPr>
        <w:t>corresponding</w:t>
      </w:r>
      <w:r w:rsidRPr="008441F8">
        <w:rPr>
          <w:rFonts w:cs="Arial"/>
          <w:b/>
          <w:lang w:val="en-US"/>
        </w:rPr>
        <w:t xml:space="preserve"> </w:t>
      </w:r>
      <w:r w:rsidRPr="008441F8">
        <w:rPr>
          <w:rFonts w:cs="Arial"/>
          <w:lang w:val="en-US"/>
        </w:rPr>
        <w:t>author</w:t>
      </w:r>
      <w:r w:rsidRPr="008441F8">
        <w:rPr>
          <w:rFonts w:cs="Arial"/>
          <w:b/>
          <w:lang w:val="en-US"/>
        </w:rPr>
        <w:t>:</w:t>
      </w:r>
      <w:r w:rsidRPr="008441F8">
        <w:rPr>
          <w:rFonts w:cs="Arial"/>
          <w:lang w:val="en-US"/>
        </w:rPr>
        <w:t xml:space="preserve"> </w:t>
      </w:r>
    </w:p>
    <w:p w14:paraId="0B3724C8" w14:textId="77777777" w:rsidR="00AE654E" w:rsidRPr="00B97427" w:rsidRDefault="00AE654E" w:rsidP="00B84A00">
      <w:pPr>
        <w:spacing w:line="276" w:lineRule="auto"/>
        <w:jc w:val="both"/>
        <w:rPr>
          <w:rFonts w:cs="Arial"/>
        </w:rPr>
      </w:pPr>
      <w:r w:rsidRPr="00B97427">
        <w:rPr>
          <w:rFonts w:cs="Arial"/>
        </w:rPr>
        <w:t xml:space="preserve">Nick Wierckx, Institute of Bio- and Geosciences, IBG-1: Biotechnology, Forschungszentrum Jülich, Wilhelm-Johnen-Straße, 52425 Jülich, Germany. e-mail: </w:t>
      </w:r>
      <w:r w:rsidRPr="00B97427">
        <w:t>n.wierckx@fz-juelich.de</w:t>
      </w:r>
    </w:p>
    <w:p w14:paraId="5D8ABA23" w14:textId="77777777" w:rsidR="00AE654E" w:rsidRPr="00B97427" w:rsidRDefault="00AE654E" w:rsidP="00B84A00">
      <w:pPr>
        <w:spacing w:line="276" w:lineRule="auto"/>
        <w:jc w:val="both"/>
      </w:pPr>
    </w:p>
    <w:p w14:paraId="2E13B45F" w14:textId="77777777" w:rsidR="00AE654E" w:rsidRPr="00B97427" w:rsidRDefault="00AE654E" w:rsidP="00B84A00">
      <w:pPr>
        <w:spacing w:line="276" w:lineRule="auto"/>
      </w:pPr>
      <w:r w:rsidRPr="00B97427">
        <w:br w:type="page"/>
      </w:r>
    </w:p>
    <w:sdt>
      <w:sdtPr>
        <w:rPr>
          <w:rFonts w:asciiTheme="minorHAnsi" w:eastAsiaTheme="minorHAnsi" w:hAnsiTheme="minorHAnsi" w:cstheme="minorBidi"/>
          <w:color w:val="auto"/>
          <w:sz w:val="22"/>
          <w:szCs w:val="22"/>
          <w:lang w:val="en-US" w:eastAsia="en-US"/>
        </w:rPr>
        <w:id w:val="-626849151"/>
        <w:docPartObj>
          <w:docPartGallery w:val="Table of Contents"/>
          <w:docPartUnique/>
        </w:docPartObj>
      </w:sdtPr>
      <w:sdtEndPr>
        <w:rPr>
          <w:b/>
          <w:bCs/>
        </w:rPr>
      </w:sdtEndPr>
      <w:sdtContent>
        <w:p w14:paraId="44FB6A51" w14:textId="77777777" w:rsidR="00AE654E" w:rsidRPr="008441F8" w:rsidRDefault="00AE654E" w:rsidP="00B84A00">
          <w:pPr>
            <w:pStyle w:val="Inhaltsverzeichnisberschrift"/>
            <w:spacing w:line="276" w:lineRule="auto"/>
            <w:rPr>
              <w:lang w:val="en-US"/>
            </w:rPr>
          </w:pPr>
          <w:r w:rsidRPr="008441F8">
            <w:rPr>
              <w:lang w:val="en-US"/>
            </w:rPr>
            <w:t>Table of contents</w:t>
          </w:r>
        </w:p>
        <w:p w14:paraId="7C2A7C0A" w14:textId="6B54AB31" w:rsidR="00AE654E" w:rsidRDefault="00AE654E" w:rsidP="00B84A00">
          <w:pPr>
            <w:pStyle w:val="Verzeichnis1"/>
            <w:spacing w:line="276" w:lineRule="auto"/>
            <w:rPr>
              <w:rFonts w:eastAsiaTheme="minorEastAsia"/>
              <w:noProof/>
              <w:lang w:eastAsia="de-DE"/>
            </w:rPr>
          </w:pPr>
          <w:r w:rsidRPr="008441F8">
            <w:rPr>
              <w:lang w:val="en-US"/>
            </w:rPr>
            <w:fldChar w:fldCharType="begin"/>
          </w:r>
          <w:r w:rsidRPr="008441F8">
            <w:rPr>
              <w:lang w:val="en-US"/>
            </w:rPr>
            <w:instrText xml:space="preserve"> TOC \o "1-3" \h \z \u </w:instrText>
          </w:r>
          <w:r w:rsidRPr="008441F8">
            <w:rPr>
              <w:b/>
              <w:bCs/>
              <w:lang w:val="en-US"/>
            </w:rPr>
            <w:fldChar w:fldCharType="separate"/>
          </w:r>
          <w:hyperlink w:anchor="_Toc132047257" w:history="1">
            <w:r w:rsidRPr="00D366D3">
              <w:rPr>
                <w:rStyle w:val="Hyperlink"/>
                <w:noProof/>
                <w:lang w:val="en-US"/>
              </w:rPr>
              <w:t xml:space="preserve">Supporting information to article “A </w:t>
            </w:r>
            <w:r w:rsidRPr="00D366D3">
              <w:rPr>
                <w:rStyle w:val="Hyperlink"/>
                <w:i/>
                <w:noProof/>
                <w:lang w:val="en-US"/>
              </w:rPr>
              <w:t>Pseudomonas taiwanensis</w:t>
            </w:r>
            <w:r w:rsidRPr="00D366D3">
              <w:rPr>
                <w:rStyle w:val="Hyperlink"/>
                <w:noProof/>
                <w:lang w:val="en-US"/>
              </w:rPr>
              <w:t xml:space="preserve"> malonyl-CoA platform strain for polyketide synthesis”</w:t>
            </w:r>
            <w:r>
              <w:rPr>
                <w:noProof/>
                <w:webHidden/>
              </w:rPr>
              <w:tab/>
            </w:r>
            <w:r>
              <w:rPr>
                <w:noProof/>
                <w:webHidden/>
              </w:rPr>
              <w:fldChar w:fldCharType="begin"/>
            </w:r>
            <w:r>
              <w:rPr>
                <w:noProof/>
                <w:webHidden/>
              </w:rPr>
              <w:instrText xml:space="preserve"> PAGEREF _Toc132047257 \h </w:instrText>
            </w:r>
            <w:r>
              <w:rPr>
                <w:noProof/>
                <w:webHidden/>
              </w:rPr>
            </w:r>
            <w:r>
              <w:rPr>
                <w:noProof/>
                <w:webHidden/>
              </w:rPr>
              <w:fldChar w:fldCharType="separate"/>
            </w:r>
            <w:r w:rsidR="000728AE">
              <w:rPr>
                <w:noProof/>
                <w:webHidden/>
              </w:rPr>
              <w:t>31</w:t>
            </w:r>
            <w:r>
              <w:rPr>
                <w:noProof/>
                <w:webHidden/>
              </w:rPr>
              <w:fldChar w:fldCharType="end"/>
            </w:r>
          </w:hyperlink>
        </w:p>
        <w:p w14:paraId="04E58AF1" w14:textId="688D5552" w:rsidR="00AE654E" w:rsidRDefault="0088211E" w:rsidP="00B84A00">
          <w:pPr>
            <w:pStyle w:val="Verzeichnis2"/>
            <w:spacing w:line="276" w:lineRule="auto"/>
            <w:rPr>
              <w:rFonts w:eastAsiaTheme="minorEastAsia"/>
              <w:noProof/>
              <w:lang w:eastAsia="de-DE"/>
            </w:rPr>
          </w:pPr>
          <w:hyperlink w:anchor="_Toc132047258" w:history="1">
            <w:r w:rsidR="00AE654E" w:rsidRPr="00D366D3">
              <w:rPr>
                <w:rStyle w:val="Hyperlink"/>
                <w:b/>
                <w:noProof/>
                <w:lang w:val="en-US"/>
              </w:rPr>
              <w:t>Table S1:</w:t>
            </w:r>
            <w:r w:rsidR="00AE654E" w:rsidRPr="00D366D3">
              <w:rPr>
                <w:rStyle w:val="Hyperlink"/>
                <w:noProof/>
                <w:lang w:val="en-US"/>
              </w:rPr>
              <w:t xml:space="preserve"> Bacterial strains used in this study</w:t>
            </w:r>
            <w:r w:rsidR="00AE654E">
              <w:rPr>
                <w:noProof/>
                <w:webHidden/>
              </w:rPr>
              <w:tab/>
            </w:r>
            <w:r w:rsidR="00AE654E">
              <w:rPr>
                <w:noProof/>
                <w:webHidden/>
              </w:rPr>
              <w:fldChar w:fldCharType="begin"/>
            </w:r>
            <w:r w:rsidR="00AE654E">
              <w:rPr>
                <w:noProof/>
                <w:webHidden/>
              </w:rPr>
              <w:instrText xml:space="preserve"> PAGEREF _Toc132047258 \h </w:instrText>
            </w:r>
            <w:r w:rsidR="00AE654E">
              <w:rPr>
                <w:noProof/>
                <w:webHidden/>
              </w:rPr>
            </w:r>
            <w:r w:rsidR="00AE654E">
              <w:rPr>
                <w:noProof/>
                <w:webHidden/>
              </w:rPr>
              <w:fldChar w:fldCharType="separate"/>
            </w:r>
            <w:r w:rsidR="000728AE">
              <w:rPr>
                <w:noProof/>
                <w:webHidden/>
              </w:rPr>
              <w:t>33</w:t>
            </w:r>
            <w:r w:rsidR="00AE654E">
              <w:rPr>
                <w:noProof/>
                <w:webHidden/>
              </w:rPr>
              <w:fldChar w:fldCharType="end"/>
            </w:r>
          </w:hyperlink>
        </w:p>
        <w:p w14:paraId="750FE40A" w14:textId="089601A3" w:rsidR="00AE654E" w:rsidRDefault="0088211E" w:rsidP="00B84A00">
          <w:pPr>
            <w:pStyle w:val="Verzeichnis2"/>
            <w:spacing w:line="276" w:lineRule="auto"/>
            <w:rPr>
              <w:rFonts w:eastAsiaTheme="minorEastAsia"/>
              <w:noProof/>
              <w:lang w:eastAsia="de-DE"/>
            </w:rPr>
          </w:pPr>
          <w:hyperlink w:anchor="_Toc132047259" w:history="1">
            <w:r w:rsidR="00AE654E" w:rsidRPr="00D366D3">
              <w:rPr>
                <w:rStyle w:val="Hyperlink"/>
                <w:b/>
                <w:noProof/>
                <w:lang w:val="en-US"/>
              </w:rPr>
              <w:t>Table S2:</w:t>
            </w:r>
            <w:r w:rsidR="00AE654E" w:rsidRPr="00D366D3">
              <w:rPr>
                <w:rStyle w:val="Hyperlink"/>
                <w:noProof/>
                <w:lang w:val="en-US"/>
              </w:rPr>
              <w:t xml:space="preserve"> Plasmids used in this study</w:t>
            </w:r>
            <w:r w:rsidR="00AE654E">
              <w:rPr>
                <w:noProof/>
                <w:webHidden/>
              </w:rPr>
              <w:tab/>
            </w:r>
            <w:r w:rsidR="00AE654E">
              <w:rPr>
                <w:noProof/>
                <w:webHidden/>
              </w:rPr>
              <w:fldChar w:fldCharType="begin"/>
            </w:r>
            <w:r w:rsidR="00AE654E">
              <w:rPr>
                <w:noProof/>
                <w:webHidden/>
              </w:rPr>
              <w:instrText xml:space="preserve"> PAGEREF _Toc132047259 \h </w:instrText>
            </w:r>
            <w:r w:rsidR="00AE654E">
              <w:rPr>
                <w:noProof/>
                <w:webHidden/>
              </w:rPr>
            </w:r>
            <w:r w:rsidR="00AE654E">
              <w:rPr>
                <w:noProof/>
                <w:webHidden/>
              </w:rPr>
              <w:fldChar w:fldCharType="separate"/>
            </w:r>
            <w:r w:rsidR="000728AE">
              <w:rPr>
                <w:noProof/>
                <w:webHidden/>
              </w:rPr>
              <w:t>36</w:t>
            </w:r>
            <w:r w:rsidR="00AE654E">
              <w:rPr>
                <w:noProof/>
                <w:webHidden/>
              </w:rPr>
              <w:fldChar w:fldCharType="end"/>
            </w:r>
          </w:hyperlink>
        </w:p>
        <w:p w14:paraId="7DAC3F14" w14:textId="373811D8" w:rsidR="00AE654E" w:rsidRDefault="0088211E" w:rsidP="00B84A00">
          <w:pPr>
            <w:pStyle w:val="Verzeichnis2"/>
            <w:spacing w:line="276" w:lineRule="auto"/>
            <w:rPr>
              <w:rFonts w:eastAsiaTheme="minorEastAsia"/>
              <w:noProof/>
              <w:lang w:eastAsia="de-DE"/>
            </w:rPr>
          </w:pPr>
          <w:hyperlink w:anchor="_Toc132047260" w:history="1">
            <w:r w:rsidR="00AE654E" w:rsidRPr="00D366D3">
              <w:rPr>
                <w:rStyle w:val="Hyperlink"/>
                <w:b/>
                <w:noProof/>
                <w:lang w:val="en-US"/>
              </w:rPr>
              <w:t>Table S3:</w:t>
            </w:r>
            <w:r w:rsidR="00AE654E" w:rsidRPr="00D366D3">
              <w:rPr>
                <w:rStyle w:val="Hyperlink"/>
                <w:noProof/>
                <w:lang w:val="en-US"/>
              </w:rPr>
              <w:t xml:space="preserve"> Oligonucleotides used in this study</w:t>
            </w:r>
            <w:r w:rsidR="00AE654E">
              <w:rPr>
                <w:noProof/>
                <w:webHidden/>
              </w:rPr>
              <w:tab/>
            </w:r>
            <w:r w:rsidR="00AE654E">
              <w:rPr>
                <w:noProof/>
                <w:webHidden/>
              </w:rPr>
              <w:fldChar w:fldCharType="begin"/>
            </w:r>
            <w:r w:rsidR="00AE654E">
              <w:rPr>
                <w:noProof/>
                <w:webHidden/>
              </w:rPr>
              <w:instrText xml:space="preserve"> PAGEREF _Toc132047260 \h </w:instrText>
            </w:r>
            <w:r w:rsidR="00AE654E">
              <w:rPr>
                <w:noProof/>
                <w:webHidden/>
              </w:rPr>
            </w:r>
            <w:r w:rsidR="00AE654E">
              <w:rPr>
                <w:noProof/>
                <w:webHidden/>
              </w:rPr>
              <w:fldChar w:fldCharType="separate"/>
            </w:r>
            <w:r w:rsidR="000728AE">
              <w:rPr>
                <w:noProof/>
                <w:webHidden/>
              </w:rPr>
              <w:t>39</w:t>
            </w:r>
            <w:r w:rsidR="00AE654E">
              <w:rPr>
                <w:noProof/>
                <w:webHidden/>
              </w:rPr>
              <w:fldChar w:fldCharType="end"/>
            </w:r>
          </w:hyperlink>
        </w:p>
        <w:p w14:paraId="53FCCE63" w14:textId="1C157FA7" w:rsidR="00AE654E" w:rsidRDefault="0088211E" w:rsidP="00B84A00">
          <w:pPr>
            <w:pStyle w:val="Verzeichnis2"/>
            <w:spacing w:line="276" w:lineRule="auto"/>
            <w:rPr>
              <w:rFonts w:eastAsiaTheme="minorEastAsia"/>
              <w:noProof/>
              <w:lang w:eastAsia="de-DE"/>
            </w:rPr>
          </w:pPr>
          <w:hyperlink w:anchor="_Toc132047261" w:history="1">
            <w:r w:rsidR="00AE654E" w:rsidRPr="00D366D3">
              <w:rPr>
                <w:rStyle w:val="Hyperlink"/>
                <w:b/>
                <w:bCs/>
                <w:noProof/>
                <w:lang w:val="en-US"/>
              </w:rPr>
              <w:t xml:space="preserve">Table S4: </w:t>
            </w:r>
            <w:r w:rsidR="00AE654E" w:rsidRPr="00D366D3">
              <w:rPr>
                <w:rStyle w:val="Hyperlink"/>
                <w:bCs/>
                <w:noProof/>
                <w:lang w:val="en-US"/>
              </w:rPr>
              <w:t>Synthetic DNA fragments.</w:t>
            </w:r>
            <w:r w:rsidR="00AE654E">
              <w:rPr>
                <w:noProof/>
                <w:webHidden/>
              </w:rPr>
              <w:tab/>
            </w:r>
            <w:r w:rsidR="00AE654E">
              <w:rPr>
                <w:noProof/>
                <w:webHidden/>
              </w:rPr>
              <w:fldChar w:fldCharType="begin"/>
            </w:r>
            <w:r w:rsidR="00AE654E">
              <w:rPr>
                <w:noProof/>
                <w:webHidden/>
              </w:rPr>
              <w:instrText xml:space="preserve"> PAGEREF _Toc132047261 \h </w:instrText>
            </w:r>
            <w:r w:rsidR="00AE654E">
              <w:rPr>
                <w:noProof/>
                <w:webHidden/>
              </w:rPr>
            </w:r>
            <w:r w:rsidR="00AE654E">
              <w:rPr>
                <w:noProof/>
                <w:webHidden/>
              </w:rPr>
              <w:fldChar w:fldCharType="separate"/>
            </w:r>
            <w:r w:rsidR="000728AE">
              <w:rPr>
                <w:noProof/>
                <w:webHidden/>
              </w:rPr>
              <w:t>42</w:t>
            </w:r>
            <w:r w:rsidR="00AE654E">
              <w:rPr>
                <w:noProof/>
                <w:webHidden/>
              </w:rPr>
              <w:fldChar w:fldCharType="end"/>
            </w:r>
          </w:hyperlink>
        </w:p>
        <w:p w14:paraId="24868A00" w14:textId="428FF1DE" w:rsidR="00AE654E" w:rsidRDefault="0088211E" w:rsidP="00B84A00">
          <w:pPr>
            <w:pStyle w:val="Verzeichnis2"/>
            <w:spacing w:line="276" w:lineRule="auto"/>
            <w:rPr>
              <w:rFonts w:eastAsiaTheme="minorEastAsia"/>
              <w:noProof/>
              <w:lang w:eastAsia="de-DE"/>
            </w:rPr>
          </w:pPr>
          <w:hyperlink w:anchor="_Toc132047262" w:history="1">
            <w:r w:rsidR="00AE654E" w:rsidRPr="00D366D3">
              <w:rPr>
                <w:rStyle w:val="Hyperlink"/>
                <w:b/>
                <w:noProof/>
                <w:lang w:val="en-US"/>
              </w:rPr>
              <w:t xml:space="preserve">Supplement S5: </w:t>
            </w:r>
            <w:r w:rsidR="00AE654E" w:rsidRPr="00D366D3">
              <w:rPr>
                <w:rStyle w:val="Hyperlink"/>
                <w:noProof/>
                <w:lang w:val="en-US"/>
              </w:rPr>
              <w:t>Calibration Growth Profiler</w:t>
            </w:r>
            <w:r w:rsidR="00AE654E">
              <w:rPr>
                <w:noProof/>
                <w:webHidden/>
              </w:rPr>
              <w:tab/>
            </w:r>
            <w:r w:rsidR="00AE654E">
              <w:rPr>
                <w:noProof/>
                <w:webHidden/>
              </w:rPr>
              <w:fldChar w:fldCharType="begin"/>
            </w:r>
            <w:r w:rsidR="00AE654E">
              <w:rPr>
                <w:noProof/>
                <w:webHidden/>
              </w:rPr>
              <w:instrText xml:space="preserve"> PAGEREF _Toc132047262 \h </w:instrText>
            </w:r>
            <w:r w:rsidR="00AE654E">
              <w:rPr>
                <w:noProof/>
                <w:webHidden/>
              </w:rPr>
            </w:r>
            <w:r w:rsidR="00AE654E">
              <w:rPr>
                <w:noProof/>
                <w:webHidden/>
              </w:rPr>
              <w:fldChar w:fldCharType="separate"/>
            </w:r>
            <w:r w:rsidR="000728AE">
              <w:rPr>
                <w:noProof/>
                <w:webHidden/>
              </w:rPr>
              <w:t>43</w:t>
            </w:r>
            <w:r w:rsidR="00AE654E">
              <w:rPr>
                <w:noProof/>
                <w:webHidden/>
              </w:rPr>
              <w:fldChar w:fldCharType="end"/>
            </w:r>
          </w:hyperlink>
        </w:p>
        <w:p w14:paraId="5868FA44" w14:textId="27EFC6FC" w:rsidR="00AE654E" w:rsidRDefault="0088211E" w:rsidP="00B84A00">
          <w:pPr>
            <w:pStyle w:val="Verzeichnis2"/>
            <w:spacing w:line="276" w:lineRule="auto"/>
            <w:rPr>
              <w:rFonts w:eastAsiaTheme="minorEastAsia"/>
              <w:noProof/>
              <w:lang w:eastAsia="de-DE"/>
            </w:rPr>
          </w:pPr>
          <w:hyperlink w:anchor="_Toc132047263" w:history="1">
            <w:r w:rsidR="00AE654E" w:rsidRPr="00D366D3">
              <w:rPr>
                <w:rStyle w:val="Hyperlink"/>
                <w:b/>
                <w:noProof/>
                <w:lang w:val="en-US"/>
              </w:rPr>
              <w:t>Figure S6: Flaviolin UV spectrum.</w:t>
            </w:r>
            <w:r w:rsidR="00AE654E">
              <w:rPr>
                <w:noProof/>
                <w:webHidden/>
              </w:rPr>
              <w:tab/>
            </w:r>
            <w:r w:rsidR="00AE654E">
              <w:rPr>
                <w:noProof/>
                <w:webHidden/>
              </w:rPr>
              <w:fldChar w:fldCharType="begin"/>
            </w:r>
            <w:r w:rsidR="00AE654E">
              <w:rPr>
                <w:noProof/>
                <w:webHidden/>
              </w:rPr>
              <w:instrText xml:space="preserve"> PAGEREF _Toc132047263 \h </w:instrText>
            </w:r>
            <w:r w:rsidR="00AE654E">
              <w:rPr>
                <w:noProof/>
                <w:webHidden/>
              </w:rPr>
            </w:r>
            <w:r w:rsidR="00AE654E">
              <w:rPr>
                <w:noProof/>
                <w:webHidden/>
              </w:rPr>
              <w:fldChar w:fldCharType="separate"/>
            </w:r>
            <w:r w:rsidR="000728AE">
              <w:rPr>
                <w:noProof/>
                <w:webHidden/>
              </w:rPr>
              <w:t>44</w:t>
            </w:r>
            <w:r w:rsidR="00AE654E">
              <w:rPr>
                <w:noProof/>
                <w:webHidden/>
              </w:rPr>
              <w:fldChar w:fldCharType="end"/>
            </w:r>
          </w:hyperlink>
        </w:p>
        <w:p w14:paraId="4E55DB7E" w14:textId="166612DE" w:rsidR="00AE654E" w:rsidRDefault="0088211E" w:rsidP="00B84A00">
          <w:pPr>
            <w:pStyle w:val="Verzeichnis2"/>
            <w:spacing w:line="276" w:lineRule="auto"/>
            <w:rPr>
              <w:rFonts w:eastAsiaTheme="minorEastAsia"/>
              <w:noProof/>
              <w:lang w:eastAsia="de-DE"/>
            </w:rPr>
          </w:pPr>
          <w:hyperlink w:anchor="_Toc132047264" w:history="1">
            <w:r w:rsidR="00AE654E" w:rsidRPr="00D366D3">
              <w:rPr>
                <w:rStyle w:val="Hyperlink"/>
                <w:b/>
                <w:noProof/>
                <w:lang w:val="en-US"/>
              </w:rPr>
              <w:t>Figure S7:</w:t>
            </w:r>
            <w:r w:rsidR="00AE654E">
              <w:rPr>
                <w:noProof/>
                <w:webHidden/>
              </w:rPr>
              <w:tab/>
            </w:r>
            <w:r w:rsidR="00AE654E">
              <w:rPr>
                <w:noProof/>
                <w:webHidden/>
              </w:rPr>
              <w:fldChar w:fldCharType="begin"/>
            </w:r>
            <w:r w:rsidR="00AE654E">
              <w:rPr>
                <w:noProof/>
                <w:webHidden/>
              </w:rPr>
              <w:instrText xml:space="preserve"> PAGEREF _Toc132047264 \h </w:instrText>
            </w:r>
            <w:r w:rsidR="00AE654E">
              <w:rPr>
                <w:noProof/>
                <w:webHidden/>
              </w:rPr>
            </w:r>
            <w:r w:rsidR="00AE654E">
              <w:rPr>
                <w:noProof/>
                <w:webHidden/>
              </w:rPr>
              <w:fldChar w:fldCharType="separate"/>
            </w:r>
            <w:r w:rsidR="000728AE">
              <w:rPr>
                <w:noProof/>
                <w:webHidden/>
              </w:rPr>
              <w:t>45</w:t>
            </w:r>
            <w:r w:rsidR="00AE654E">
              <w:rPr>
                <w:noProof/>
                <w:webHidden/>
              </w:rPr>
              <w:fldChar w:fldCharType="end"/>
            </w:r>
          </w:hyperlink>
        </w:p>
        <w:p w14:paraId="4ED253FA" w14:textId="31302730" w:rsidR="00AE654E" w:rsidRDefault="0088211E" w:rsidP="00B84A00">
          <w:pPr>
            <w:pStyle w:val="Verzeichnis2"/>
            <w:spacing w:line="276" w:lineRule="auto"/>
            <w:rPr>
              <w:rFonts w:eastAsiaTheme="minorEastAsia"/>
              <w:noProof/>
              <w:lang w:eastAsia="de-DE"/>
            </w:rPr>
          </w:pPr>
          <w:hyperlink w:anchor="_Toc132047265" w:history="1">
            <w:r w:rsidR="00AE654E" w:rsidRPr="00D366D3">
              <w:rPr>
                <w:rStyle w:val="Hyperlink"/>
                <w:b/>
                <w:noProof/>
                <w:lang w:val="en-US"/>
              </w:rPr>
              <w:t>Figure S8:</w:t>
            </w:r>
            <w:r w:rsidR="00AE654E">
              <w:rPr>
                <w:noProof/>
                <w:webHidden/>
              </w:rPr>
              <w:tab/>
            </w:r>
            <w:r w:rsidR="00AE654E">
              <w:rPr>
                <w:noProof/>
                <w:webHidden/>
              </w:rPr>
              <w:fldChar w:fldCharType="begin"/>
            </w:r>
            <w:r w:rsidR="00AE654E">
              <w:rPr>
                <w:noProof/>
                <w:webHidden/>
              </w:rPr>
              <w:instrText xml:space="preserve"> PAGEREF _Toc132047265 \h </w:instrText>
            </w:r>
            <w:r w:rsidR="00AE654E">
              <w:rPr>
                <w:noProof/>
                <w:webHidden/>
              </w:rPr>
            </w:r>
            <w:r w:rsidR="00AE654E">
              <w:rPr>
                <w:noProof/>
                <w:webHidden/>
              </w:rPr>
              <w:fldChar w:fldCharType="separate"/>
            </w:r>
            <w:r w:rsidR="000728AE">
              <w:rPr>
                <w:noProof/>
                <w:webHidden/>
              </w:rPr>
              <w:t>45</w:t>
            </w:r>
            <w:r w:rsidR="00AE654E">
              <w:rPr>
                <w:noProof/>
                <w:webHidden/>
              </w:rPr>
              <w:fldChar w:fldCharType="end"/>
            </w:r>
          </w:hyperlink>
        </w:p>
        <w:p w14:paraId="75EC8A8A" w14:textId="2FC351A8" w:rsidR="00AE654E" w:rsidRDefault="0088211E" w:rsidP="00B84A00">
          <w:pPr>
            <w:pStyle w:val="Verzeichnis2"/>
            <w:spacing w:line="276" w:lineRule="auto"/>
            <w:rPr>
              <w:rFonts w:eastAsiaTheme="minorEastAsia"/>
              <w:noProof/>
              <w:lang w:eastAsia="de-DE"/>
            </w:rPr>
          </w:pPr>
          <w:hyperlink w:anchor="_Toc132047266" w:history="1">
            <w:r w:rsidR="00AE654E" w:rsidRPr="00D366D3">
              <w:rPr>
                <w:rStyle w:val="Hyperlink"/>
                <w:b/>
                <w:noProof/>
                <w:lang w:val="en-US"/>
              </w:rPr>
              <w:t>Figure S9:</w:t>
            </w:r>
            <w:r w:rsidR="00AE654E">
              <w:rPr>
                <w:noProof/>
                <w:webHidden/>
              </w:rPr>
              <w:tab/>
            </w:r>
            <w:r w:rsidR="00AE654E">
              <w:rPr>
                <w:noProof/>
                <w:webHidden/>
              </w:rPr>
              <w:fldChar w:fldCharType="begin"/>
            </w:r>
            <w:r w:rsidR="00AE654E">
              <w:rPr>
                <w:noProof/>
                <w:webHidden/>
              </w:rPr>
              <w:instrText xml:space="preserve"> PAGEREF _Toc132047266 \h </w:instrText>
            </w:r>
            <w:r w:rsidR="00AE654E">
              <w:rPr>
                <w:noProof/>
                <w:webHidden/>
              </w:rPr>
            </w:r>
            <w:r w:rsidR="00AE654E">
              <w:rPr>
                <w:noProof/>
                <w:webHidden/>
              </w:rPr>
              <w:fldChar w:fldCharType="separate"/>
            </w:r>
            <w:r w:rsidR="000728AE">
              <w:rPr>
                <w:noProof/>
                <w:webHidden/>
              </w:rPr>
              <w:t>46</w:t>
            </w:r>
            <w:r w:rsidR="00AE654E">
              <w:rPr>
                <w:noProof/>
                <w:webHidden/>
              </w:rPr>
              <w:fldChar w:fldCharType="end"/>
            </w:r>
          </w:hyperlink>
        </w:p>
        <w:p w14:paraId="0E8BBF7B" w14:textId="3C1325D3" w:rsidR="00AE654E" w:rsidRDefault="0088211E" w:rsidP="00B84A00">
          <w:pPr>
            <w:pStyle w:val="Verzeichnis2"/>
            <w:spacing w:line="276" w:lineRule="auto"/>
            <w:rPr>
              <w:rFonts w:eastAsiaTheme="minorEastAsia"/>
              <w:noProof/>
              <w:lang w:eastAsia="de-DE"/>
            </w:rPr>
          </w:pPr>
          <w:hyperlink w:anchor="_Toc132047267" w:history="1">
            <w:r w:rsidR="00AE654E" w:rsidRPr="00D366D3">
              <w:rPr>
                <w:rStyle w:val="Hyperlink"/>
                <w:b/>
                <w:noProof/>
                <w:lang w:val="en-US"/>
              </w:rPr>
              <w:t>Figure S10: Design of promoter P14a*.</w:t>
            </w:r>
            <w:r w:rsidR="00AE654E">
              <w:rPr>
                <w:noProof/>
                <w:webHidden/>
              </w:rPr>
              <w:tab/>
            </w:r>
            <w:r w:rsidR="00AE654E">
              <w:rPr>
                <w:noProof/>
                <w:webHidden/>
              </w:rPr>
              <w:fldChar w:fldCharType="begin"/>
            </w:r>
            <w:r w:rsidR="00AE654E">
              <w:rPr>
                <w:noProof/>
                <w:webHidden/>
              </w:rPr>
              <w:instrText xml:space="preserve"> PAGEREF _Toc132047267 \h </w:instrText>
            </w:r>
            <w:r w:rsidR="00AE654E">
              <w:rPr>
                <w:noProof/>
                <w:webHidden/>
              </w:rPr>
            </w:r>
            <w:r w:rsidR="00AE654E">
              <w:rPr>
                <w:noProof/>
                <w:webHidden/>
              </w:rPr>
              <w:fldChar w:fldCharType="separate"/>
            </w:r>
            <w:r w:rsidR="000728AE">
              <w:rPr>
                <w:noProof/>
                <w:webHidden/>
              </w:rPr>
              <w:t>46</w:t>
            </w:r>
            <w:r w:rsidR="00AE654E">
              <w:rPr>
                <w:noProof/>
                <w:webHidden/>
              </w:rPr>
              <w:fldChar w:fldCharType="end"/>
            </w:r>
          </w:hyperlink>
        </w:p>
        <w:p w14:paraId="223D822A" w14:textId="7E75C12A" w:rsidR="00AE654E" w:rsidRDefault="0088211E" w:rsidP="00B84A00">
          <w:pPr>
            <w:pStyle w:val="Verzeichnis2"/>
            <w:spacing w:line="276" w:lineRule="auto"/>
            <w:rPr>
              <w:rFonts w:eastAsiaTheme="minorEastAsia"/>
              <w:noProof/>
              <w:lang w:eastAsia="de-DE"/>
            </w:rPr>
          </w:pPr>
          <w:hyperlink w:anchor="_Toc132047268" w:history="1">
            <w:r w:rsidR="00AE654E" w:rsidRPr="00D366D3">
              <w:rPr>
                <w:rStyle w:val="Hyperlink"/>
                <w:b/>
                <w:noProof/>
                <w:lang w:val="en-US"/>
              </w:rPr>
              <w:t>Figure S11:</w:t>
            </w:r>
            <w:r w:rsidR="00AE654E">
              <w:rPr>
                <w:noProof/>
                <w:webHidden/>
              </w:rPr>
              <w:tab/>
            </w:r>
            <w:r w:rsidR="00AE654E">
              <w:rPr>
                <w:noProof/>
                <w:webHidden/>
              </w:rPr>
              <w:fldChar w:fldCharType="begin"/>
            </w:r>
            <w:r w:rsidR="00AE654E">
              <w:rPr>
                <w:noProof/>
                <w:webHidden/>
              </w:rPr>
              <w:instrText xml:space="preserve"> PAGEREF _Toc132047268 \h </w:instrText>
            </w:r>
            <w:r w:rsidR="00AE654E">
              <w:rPr>
                <w:noProof/>
                <w:webHidden/>
              </w:rPr>
            </w:r>
            <w:r w:rsidR="00AE654E">
              <w:rPr>
                <w:noProof/>
                <w:webHidden/>
              </w:rPr>
              <w:fldChar w:fldCharType="separate"/>
            </w:r>
            <w:r w:rsidR="000728AE">
              <w:rPr>
                <w:noProof/>
                <w:webHidden/>
              </w:rPr>
              <w:t>46</w:t>
            </w:r>
            <w:r w:rsidR="00AE654E">
              <w:rPr>
                <w:noProof/>
                <w:webHidden/>
              </w:rPr>
              <w:fldChar w:fldCharType="end"/>
            </w:r>
          </w:hyperlink>
        </w:p>
        <w:p w14:paraId="2CB74CBE" w14:textId="05349FA3" w:rsidR="00AE654E" w:rsidRDefault="0088211E" w:rsidP="00B84A00">
          <w:pPr>
            <w:pStyle w:val="Verzeichnis2"/>
            <w:spacing w:line="276" w:lineRule="auto"/>
            <w:rPr>
              <w:rFonts w:eastAsiaTheme="minorEastAsia"/>
              <w:noProof/>
              <w:lang w:eastAsia="de-DE"/>
            </w:rPr>
          </w:pPr>
          <w:hyperlink w:anchor="_Toc132047269" w:history="1">
            <w:r w:rsidR="00AE654E" w:rsidRPr="00D366D3">
              <w:rPr>
                <w:rStyle w:val="Hyperlink"/>
                <w:b/>
                <w:noProof/>
                <w:lang w:val="en-US"/>
              </w:rPr>
              <w:t>Figure S12:</w:t>
            </w:r>
            <w:r w:rsidR="00AE654E">
              <w:rPr>
                <w:noProof/>
                <w:webHidden/>
              </w:rPr>
              <w:tab/>
            </w:r>
            <w:r w:rsidR="00AE654E">
              <w:rPr>
                <w:noProof/>
                <w:webHidden/>
              </w:rPr>
              <w:fldChar w:fldCharType="begin"/>
            </w:r>
            <w:r w:rsidR="00AE654E">
              <w:rPr>
                <w:noProof/>
                <w:webHidden/>
              </w:rPr>
              <w:instrText xml:space="preserve"> PAGEREF _Toc132047269 \h </w:instrText>
            </w:r>
            <w:r w:rsidR="00AE654E">
              <w:rPr>
                <w:noProof/>
                <w:webHidden/>
              </w:rPr>
            </w:r>
            <w:r w:rsidR="00AE654E">
              <w:rPr>
                <w:noProof/>
                <w:webHidden/>
              </w:rPr>
              <w:fldChar w:fldCharType="separate"/>
            </w:r>
            <w:r w:rsidR="000728AE">
              <w:rPr>
                <w:noProof/>
                <w:webHidden/>
              </w:rPr>
              <w:t>47</w:t>
            </w:r>
            <w:r w:rsidR="00AE654E">
              <w:rPr>
                <w:noProof/>
                <w:webHidden/>
              </w:rPr>
              <w:fldChar w:fldCharType="end"/>
            </w:r>
          </w:hyperlink>
        </w:p>
        <w:p w14:paraId="0F07D371" w14:textId="0CC41BB5" w:rsidR="00AE654E" w:rsidRDefault="0088211E" w:rsidP="00B84A00">
          <w:pPr>
            <w:pStyle w:val="Verzeichnis2"/>
            <w:spacing w:line="276" w:lineRule="auto"/>
            <w:rPr>
              <w:rFonts w:eastAsiaTheme="minorEastAsia"/>
              <w:noProof/>
              <w:lang w:eastAsia="de-DE"/>
            </w:rPr>
          </w:pPr>
          <w:hyperlink w:anchor="_Toc132047270" w:history="1">
            <w:r w:rsidR="00AE654E" w:rsidRPr="00D366D3">
              <w:rPr>
                <w:rStyle w:val="Hyperlink"/>
                <w:b/>
                <w:noProof/>
                <w:lang w:val="en-US"/>
              </w:rPr>
              <w:t>Figure S13</w:t>
            </w:r>
            <w:r w:rsidR="00AE654E" w:rsidRPr="00D366D3">
              <w:rPr>
                <w:rStyle w:val="Hyperlink"/>
                <w:noProof/>
                <w:lang w:val="en-US"/>
              </w:rPr>
              <w:t>:</w:t>
            </w:r>
            <w:r w:rsidR="00AE654E">
              <w:rPr>
                <w:noProof/>
                <w:webHidden/>
              </w:rPr>
              <w:tab/>
            </w:r>
            <w:r w:rsidR="00AE654E">
              <w:rPr>
                <w:noProof/>
                <w:webHidden/>
              </w:rPr>
              <w:fldChar w:fldCharType="begin"/>
            </w:r>
            <w:r w:rsidR="00AE654E">
              <w:rPr>
                <w:noProof/>
                <w:webHidden/>
              </w:rPr>
              <w:instrText xml:space="preserve"> PAGEREF _Toc132047270 \h </w:instrText>
            </w:r>
            <w:r w:rsidR="00AE654E">
              <w:rPr>
                <w:noProof/>
                <w:webHidden/>
              </w:rPr>
            </w:r>
            <w:r w:rsidR="00AE654E">
              <w:rPr>
                <w:noProof/>
                <w:webHidden/>
              </w:rPr>
              <w:fldChar w:fldCharType="separate"/>
            </w:r>
            <w:r w:rsidR="000728AE">
              <w:rPr>
                <w:noProof/>
                <w:webHidden/>
              </w:rPr>
              <w:t>49</w:t>
            </w:r>
            <w:r w:rsidR="00AE654E">
              <w:rPr>
                <w:noProof/>
                <w:webHidden/>
              </w:rPr>
              <w:fldChar w:fldCharType="end"/>
            </w:r>
          </w:hyperlink>
        </w:p>
        <w:p w14:paraId="3A47554A" w14:textId="54ADA445" w:rsidR="00AE654E" w:rsidRDefault="0088211E" w:rsidP="00B84A00">
          <w:pPr>
            <w:pStyle w:val="Verzeichnis2"/>
            <w:spacing w:line="276" w:lineRule="auto"/>
            <w:rPr>
              <w:rFonts w:eastAsiaTheme="minorEastAsia"/>
              <w:noProof/>
              <w:lang w:eastAsia="de-DE"/>
            </w:rPr>
          </w:pPr>
          <w:hyperlink w:anchor="_Toc132047271" w:history="1">
            <w:r w:rsidR="00AE654E" w:rsidRPr="00D366D3">
              <w:rPr>
                <w:rStyle w:val="Hyperlink"/>
                <w:b/>
                <w:noProof/>
                <w:lang w:val="en-US"/>
              </w:rPr>
              <w:t xml:space="preserve">Supplement S14: </w:t>
            </w:r>
            <w:r w:rsidR="00AE654E" w:rsidRPr="00D366D3">
              <w:rPr>
                <w:rStyle w:val="Hyperlink"/>
                <w:noProof/>
                <w:lang w:val="en-US"/>
              </w:rPr>
              <w:t>Genetic modifications without positive effect on product titers</w:t>
            </w:r>
            <w:r w:rsidR="00AE654E">
              <w:rPr>
                <w:noProof/>
                <w:webHidden/>
              </w:rPr>
              <w:tab/>
            </w:r>
            <w:r w:rsidR="00AE654E">
              <w:rPr>
                <w:noProof/>
                <w:webHidden/>
              </w:rPr>
              <w:fldChar w:fldCharType="begin"/>
            </w:r>
            <w:r w:rsidR="00AE654E">
              <w:rPr>
                <w:noProof/>
                <w:webHidden/>
              </w:rPr>
              <w:instrText xml:space="preserve"> PAGEREF _Toc132047271 \h </w:instrText>
            </w:r>
            <w:r w:rsidR="00AE654E">
              <w:rPr>
                <w:noProof/>
                <w:webHidden/>
              </w:rPr>
            </w:r>
            <w:r w:rsidR="00AE654E">
              <w:rPr>
                <w:noProof/>
                <w:webHidden/>
              </w:rPr>
              <w:fldChar w:fldCharType="separate"/>
            </w:r>
            <w:r w:rsidR="000728AE">
              <w:rPr>
                <w:noProof/>
                <w:webHidden/>
              </w:rPr>
              <w:t>49</w:t>
            </w:r>
            <w:r w:rsidR="00AE654E">
              <w:rPr>
                <w:noProof/>
                <w:webHidden/>
              </w:rPr>
              <w:fldChar w:fldCharType="end"/>
            </w:r>
          </w:hyperlink>
        </w:p>
        <w:p w14:paraId="5D9FDD69" w14:textId="6DE3ACED" w:rsidR="00AE654E" w:rsidRDefault="0088211E" w:rsidP="00B84A00">
          <w:pPr>
            <w:pStyle w:val="Verzeichnis2"/>
            <w:spacing w:line="276" w:lineRule="auto"/>
            <w:rPr>
              <w:rFonts w:eastAsiaTheme="minorEastAsia"/>
              <w:noProof/>
              <w:lang w:eastAsia="de-DE"/>
            </w:rPr>
          </w:pPr>
          <w:hyperlink w:anchor="_Toc132047272" w:history="1">
            <w:r w:rsidR="00AE654E" w:rsidRPr="00D366D3">
              <w:rPr>
                <w:rStyle w:val="Hyperlink"/>
                <w:b/>
                <w:noProof/>
                <w:lang w:val="en-US"/>
              </w:rPr>
              <w:t xml:space="preserve">Figure S15: Proposed fatty acid biosynthesis in </w:t>
            </w:r>
            <w:r w:rsidR="00AE654E" w:rsidRPr="00D366D3">
              <w:rPr>
                <w:rStyle w:val="Hyperlink"/>
                <w:b/>
                <w:i/>
                <w:noProof/>
                <w:lang w:val="en-US"/>
              </w:rPr>
              <w:t>P. taiwanensis</w:t>
            </w:r>
            <w:r w:rsidR="00AE654E" w:rsidRPr="00D366D3">
              <w:rPr>
                <w:rStyle w:val="Hyperlink"/>
                <w:b/>
                <w:noProof/>
                <w:lang w:val="en-US"/>
              </w:rPr>
              <w:t xml:space="preserve"> VLB120.</w:t>
            </w:r>
            <w:r w:rsidR="00AE654E">
              <w:rPr>
                <w:noProof/>
                <w:webHidden/>
              </w:rPr>
              <w:tab/>
            </w:r>
            <w:r w:rsidR="00AE654E">
              <w:rPr>
                <w:noProof/>
                <w:webHidden/>
              </w:rPr>
              <w:fldChar w:fldCharType="begin"/>
            </w:r>
            <w:r w:rsidR="00AE654E">
              <w:rPr>
                <w:noProof/>
                <w:webHidden/>
              </w:rPr>
              <w:instrText xml:space="preserve"> PAGEREF _Toc132047272 \h </w:instrText>
            </w:r>
            <w:r w:rsidR="00AE654E">
              <w:rPr>
                <w:noProof/>
                <w:webHidden/>
              </w:rPr>
            </w:r>
            <w:r w:rsidR="00AE654E">
              <w:rPr>
                <w:noProof/>
                <w:webHidden/>
              </w:rPr>
              <w:fldChar w:fldCharType="separate"/>
            </w:r>
            <w:r w:rsidR="000728AE">
              <w:rPr>
                <w:noProof/>
                <w:webHidden/>
              </w:rPr>
              <w:t>50</w:t>
            </w:r>
            <w:r w:rsidR="00AE654E">
              <w:rPr>
                <w:noProof/>
                <w:webHidden/>
              </w:rPr>
              <w:fldChar w:fldCharType="end"/>
            </w:r>
          </w:hyperlink>
        </w:p>
        <w:p w14:paraId="58FDE3B4" w14:textId="5DF21F9E" w:rsidR="00AE654E" w:rsidRDefault="0088211E" w:rsidP="00B84A00">
          <w:pPr>
            <w:pStyle w:val="Verzeichnis2"/>
            <w:spacing w:line="276" w:lineRule="auto"/>
            <w:rPr>
              <w:rFonts w:eastAsiaTheme="minorEastAsia"/>
              <w:noProof/>
              <w:lang w:eastAsia="de-DE"/>
            </w:rPr>
          </w:pPr>
          <w:hyperlink w:anchor="_Toc132047273" w:history="1">
            <w:r w:rsidR="00AE654E" w:rsidRPr="00D366D3">
              <w:rPr>
                <w:rStyle w:val="Hyperlink"/>
                <w:b/>
                <w:noProof/>
                <w:lang w:val="en-US"/>
              </w:rPr>
              <w:t>Figure S16</w:t>
            </w:r>
            <w:r w:rsidR="00AE654E" w:rsidRPr="00D366D3">
              <w:rPr>
                <w:rStyle w:val="Hyperlink"/>
                <w:noProof/>
                <w:lang w:val="en-US"/>
              </w:rPr>
              <w:t>:</w:t>
            </w:r>
            <w:r w:rsidR="00AE654E">
              <w:rPr>
                <w:noProof/>
                <w:webHidden/>
              </w:rPr>
              <w:tab/>
            </w:r>
            <w:r w:rsidR="00AE654E">
              <w:rPr>
                <w:noProof/>
                <w:webHidden/>
              </w:rPr>
              <w:fldChar w:fldCharType="begin"/>
            </w:r>
            <w:r w:rsidR="00AE654E">
              <w:rPr>
                <w:noProof/>
                <w:webHidden/>
              </w:rPr>
              <w:instrText xml:space="preserve"> PAGEREF _Toc132047273 \h </w:instrText>
            </w:r>
            <w:r w:rsidR="00AE654E">
              <w:rPr>
                <w:noProof/>
                <w:webHidden/>
              </w:rPr>
            </w:r>
            <w:r w:rsidR="00AE654E">
              <w:rPr>
                <w:noProof/>
                <w:webHidden/>
              </w:rPr>
              <w:fldChar w:fldCharType="separate"/>
            </w:r>
            <w:r w:rsidR="000728AE">
              <w:rPr>
                <w:noProof/>
                <w:webHidden/>
              </w:rPr>
              <w:t>51</w:t>
            </w:r>
            <w:r w:rsidR="00AE654E">
              <w:rPr>
                <w:noProof/>
                <w:webHidden/>
              </w:rPr>
              <w:fldChar w:fldCharType="end"/>
            </w:r>
          </w:hyperlink>
        </w:p>
        <w:p w14:paraId="1F155313" w14:textId="090070B9" w:rsidR="00AE654E" w:rsidRDefault="0088211E" w:rsidP="00B84A00">
          <w:pPr>
            <w:pStyle w:val="Verzeichnis2"/>
            <w:spacing w:line="276" w:lineRule="auto"/>
            <w:rPr>
              <w:rFonts w:eastAsiaTheme="minorEastAsia"/>
              <w:noProof/>
              <w:lang w:eastAsia="de-DE"/>
            </w:rPr>
          </w:pPr>
          <w:hyperlink w:anchor="_Toc132047274" w:history="1">
            <w:r w:rsidR="00AE654E" w:rsidRPr="00D366D3">
              <w:rPr>
                <w:rStyle w:val="Hyperlink"/>
                <w:b/>
                <w:noProof/>
                <w:lang w:val="en-US"/>
              </w:rPr>
              <w:t>Supplement S17:</w:t>
            </w:r>
            <w:r w:rsidR="00AE654E" w:rsidRPr="00D366D3">
              <w:rPr>
                <w:rStyle w:val="Hyperlink"/>
                <w:noProof/>
                <w:lang w:val="en-US"/>
              </w:rPr>
              <w:t xml:space="preserve"> Evaluation of platform strain GRC3</w:t>
            </w:r>
            <w:r w:rsidR="00AE654E" w:rsidRPr="00D366D3">
              <w:rPr>
                <w:rStyle w:val="Hyperlink"/>
                <w:rFonts w:cstheme="minorHAnsi"/>
                <w:noProof/>
                <w:lang w:val="en-US"/>
              </w:rPr>
              <w:t>Δ</w:t>
            </w:r>
            <w:r w:rsidR="00AE654E" w:rsidRPr="00D366D3">
              <w:rPr>
                <w:rStyle w:val="Hyperlink"/>
                <w:noProof/>
                <w:lang w:val="en-US"/>
              </w:rPr>
              <w:t>6 MC-III by stilbenoid synthesis</w:t>
            </w:r>
            <w:r w:rsidR="00AE654E">
              <w:rPr>
                <w:noProof/>
                <w:webHidden/>
              </w:rPr>
              <w:tab/>
            </w:r>
            <w:r w:rsidR="00AE654E">
              <w:rPr>
                <w:noProof/>
                <w:webHidden/>
              </w:rPr>
              <w:fldChar w:fldCharType="begin"/>
            </w:r>
            <w:r w:rsidR="00AE654E">
              <w:rPr>
                <w:noProof/>
                <w:webHidden/>
              </w:rPr>
              <w:instrText xml:space="preserve"> PAGEREF _Toc132047274 \h </w:instrText>
            </w:r>
            <w:r w:rsidR="00AE654E">
              <w:rPr>
                <w:noProof/>
                <w:webHidden/>
              </w:rPr>
            </w:r>
            <w:r w:rsidR="00AE654E">
              <w:rPr>
                <w:noProof/>
                <w:webHidden/>
              </w:rPr>
              <w:fldChar w:fldCharType="separate"/>
            </w:r>
            <w:r w:rsidR="000728AE">
              <w:rPr>
                <w:noProof/>
                <w:webHidden/>
              </w:rPr>
              <w:t>51</w:t>
            </w:r>
            <w:r w:rsidR="00AE654E">
              <w:rPr>
                <w:noProof/>
                <w:webHidden/>
              </w:rPr>
              <w:fldChar w:fldCharType="end"/>
            </w:r>
          </w:hyperlink>
        </w:p>
        <w:p w14:paraId="1020BBD9" w14:textId="6D5C11F1" w:rsidR="00AE654E" w:rsidRDefault="0088211E" w:rsidP="00B84A00">
          <w:pPr>
            <w:pStyle w:val="Verzeichnis2"/>
            <w:spacing w:line="276" w:lineRule="auto"/>
            <w:rPr>
              <w:rFonts w:eastAsiaTheme="minorEastAsia"/>
              <w:noProof/>
              <w:lang w:eastAsia="de-DE"/>
            </w:rPr>
          </w:pPr>
          <w:hyperlink w:anchor="_Toc132047275" w:history="1">
            <w:r w:rsidR="00AE654E" w:rsidRPr="00D366D3">
              <w:rPr>
                <w:rStyle w:val="Hyperlink"/>
                <w:b/>
                <w:noProof/>
                <w:lang w:val="en-US"/>
              </w:rPr>
              <w:t>Figure S18</w:t>
            </w:r>
            <w:r w:rsidR="00AE654E" w:rsidRPr="00D366D3">
              <w:rPr>
                <w:rStyle w:val="Hyperlink"/>
                <w:noProof/>
                <w:lang w:val="en-US"/>
              </w:rPr>
              <w:t>:</w:t>
            </w:r>
            <w:r w:rsidR="00AE654E">
              <w:rPr>
                <w:noProof/>
                <w:webHidden/>
              </w:rPr>
              <w:tab/>
            </w:r>
            <w:r w:rsidR="00AE654E">
              <w:rPr>
                <w:noProof/>
                <w:webHidden/>
              </w:rPr>
              <w:fldChar w:fldCharType="begin"/>
            </w:r>
            <w:r w:rsidR="00AE654E">
              <w:rPr>
                <w:noProof/>
                <w:webHidden/>
              </w:rPr>
              <w:instrText xml:space="preserve"> PAGEREF _Toc132047275 \h </w:instrText>
            </w:r>
            <w:r w:rsidR="00AE654E">
              <w:rPr>
                <w:noProof/>
                <w:webHidden/>
              </w:rPr>
            </w:r>
            <w:r w:rsidR="00AE654E">
              <w:rPr>
                <w:noProof/>
                <w:webHidden/>
              </w:rPr>
              <w:fldChar w:fldCharType="separate"/>
            </w:r>
            <w:r w:rsidR="000728AE">
              <w:rPr>
                <w:noProof/>
                <w:webHidden/>
              </w:rPr>
              <w:t>52</w:t>
            </w:r>
            <w:r w:rsidR="00AE654E">
              <w:rPr>
                <w:noProof/>
                <w:webHidden/>
              </w:rPr>
              <w:fldChar w:fldCharType="end"/>
            </w:r>
          </w:hyperlink>
        </w:p>
        <w:p w14:paraId="52D3334C" w14:textId="48C43B47" w:rsidR="00AE654E" w:rsidRDefault="0088211E" w:rsidP="00B84A00">
          <w:pPr>
            <w:pStyle w:val="Verzeichnis2"/>
            <w:spacing w:line="276" w:lineRule="auto"/>
            <w:rPr>
              <w:rFonts w:eastAsiaTheme="minorEastAsia"/>
              <w:noProof/>
              <w:lang w:eastAsia="de-DE"/>
            </w:rPr>
          </w:pPr>
          <w:hyperlink w:anchor="_Toc132047276" w:history="1">
            <w:r w:rsidR="00AE654E" w:rsidRPr="00D366D3">
              <w:rPr>
                <w:rStyle w:val="Hyperlink"/>
                <w:b/>
                <w:bCs/>
                <w:noProof/>
                <w:lang w:val="en-US"/>
              </w:rPr>
              <w:t>Table S19:</w:t>
            </w:r>
            <w:r w:rsidR="00AE654E" w:rsidRPr="00D366D3">
              <w:rPr>
                <w:rStyle w:val="Hyperlink"/>
                <w:noProof/>
                <w:lang w:val="en-US"/>
              </w:rPr>
              <w:t xml:space="preserve"> Different bioconversions in shake flasks and 24 square well plates with indicated substrate, precursor, product titers after approx. 25 h</w:t>
            </w:r>
            <w:r w:rsidR="00AE654E">
              <w:rPr>
                <w:noProof/>
                <w:webHidden/>
              </w:rPr>
              <w:tab/>
            </w:r>
            <w:r w:rsidR="00AE654E">
              <w:rPr>
                <w:noProof/>
                <w:webHidden/>
              </w:rPr>
              <w:fldChar w:fldCharType="begin"/>
            </w:r>
            <w:r w:rsidR="00AE654E">
              <w:rPr>
                <w:noProof/>
                <w:webHidden/>
              </w:rPr>
              <w:instrText xml:space="preserve"> PAGEREF _Toc132047276 \h </w:instrText>
            </w:r>
            <w:r w:rsidR="00AE654E">
              <w:rPr>
                <w:noProof/>
                <w:webHidden/>
              </w:rPr>
            </w:r>
            <w:r w:rsidR="00AE654E">
              <w:rPr>
                <w:noProof/>
                <w:webHidden/>
              </w:rPr>
              <w:fldChar w:fldCharType="separate"/>
            </w:r>
            <w:r w:rsidR="000728AE">
              <w:rPr>
                <w:noProof/>
                <w:webHidden/>
              </w:rPr>
              <w:t>53</w:t>
            </w:r>
            <w:r w:rsidR="00AE654E">
              <w:rPr>
                <w:noProof/>
                <w:webHidden/>
              </w:rPr>
              <w:fldChar w:fldCharType="end"/>
            </w:r>
          </w:hyperlink>
        </w:p>
        <w:p w14:paraId="0B63BEAF" w14:textId="758986A8" w:rsidR="00AE654E" w:rsidRDefault="0088211E" w:rsidP="00B84A00">
          <w:pPr>
            <w:pStyle w:val="Verzeichnis2"/>
            <w:spacing w:line="276" w:lineRule="auto"/>
            <w:rPr>
              <w:rFonts w:eastAsiaTheme="minorEastAsia"/>
              <w:noProof/>
              <w:lang w:eastAsia="de-DE"/>
            </w:rPr>
          </w:pPr>
          <w:hyperlink w:anchor="_Toc132047277" w:history="1">
            <w:r w:rsidR="00AE654E" w:rsidRPr="00D366D3">
              <w:rPr>
                <w:rStyle w:val="Hyperlink"/>
                <w:noProof/>
                <w:lang w:val="en-US"/>
              </w:rPr>
              <w:t>References in supplementary material</w:t>
            </w:r>
            <w:r w:rsidR="00AE654E">
              <w:rPr>
                <w:noProof/>
                <w:webHidden/>
              </w:rPr>
              <w:tab/>
            </w:r>
            <w:r w:rsidR="00AE654E">
              <w:rPr>
                <w:noProof/>
                <w:webHidden/>
              </w:rPr>
              <w:fldChar w:fldCharType="begin"/>
            </w:r>
            <w:r w:rsidR="00AE654E">
              <w:rPr>
                <w:noProof/>
                <w:webHidden/>
              </w:rPr>
              <w:instrText xml:space="preserve"> PAGEREF _Toc132047277 \h </w:instrText>
            </w:r>
            <w:r w:rsidR="00AE654E">
              <w:rPr>
                <w:noProof/>
                <w:webHidden/>
              </w:rPr>
            </w:r>
            <w:r w:rsidR="00AE654E">
              <w:rPr>
                <w:noProof/>
                <w:webHidden/>
              </w:rPr>
              <w:fldChar w:fldCharType="separate"/>
            </w:r>
            <w:r w:rsidR="000728AE">
              <w:rPr>
                <w:noProof/>
                <w:webHidden/>
              </w:rPr>
              <w:t>54</w:t>
            </w:r>
            <w:r w:rsidR="00AE654E">
              <w:rPr>
                <w:noProof/>
                <w:webHidden/>
              </w:rPr>
              <w:fldChar w:fldCharType="end"/>
            </w:r>
          </w:hyperlink>
        </w:p>
        <w:p w14:paraId="0C96EB69" w14:textId="77777777" w:rsidR="00AE654E" w:rsidRPr="008441F8" w:rsidRDefault="00AE654E" w:rsidP="00B84A00">
          <w:pPr>
            <w:spacing w:line="276" w:lineRule="auto"/>
            <w:rPr>
              <w:lang w:val="en-US"/>
            </w:rPr>
          </w:pPr>
          <w:r w:rsidRPr="008441F8">
            <w:rPr>
              <w:b/>
              <w:bCs/>
              <w:lang w:val="en-US"/>
            </w:rPr>
            <w:fldChar w:fldCharType="end"/>
          </w:r>
        </w:p>
      </w:sdtContent>
    </w:sdt>
    <w:p w14:paraId="14D1D897" w14:textId="77777777" w:rsidR="00AE654E" w:rsidRPr="008441F8" w:rsidRDefault="00AE654E" w:rsidP="00B84A00">
      <w:pPr>
        <w:spacing w:line="276" w:lineRule="auto"/>
        <w:jc w:val="both"/>
        <w:rPr>
          <w:lang w:val="en-US"/>
        </w:rPr>
      </w:pPr>
    </w:p>
    <w:p w14:paraId="516ECA3C" w14:textId="77777777" w:rsidR="00AE654E" w:rsidRPr="008441F8" w:rsidRDefault="00AE654E" w:rsidP="00B84A00">
      <w:pPr>
        <w:spacing w:line="276" w:lineRule="auto"/>
        <w:rPr>
          <w:lang w:val="en-US"/>
        </w:rPr>
      </w:pPr>
      <w:r w:rsidRPr="008441F8">
        <w:rPr>
          <w:lang w:val="en-US"/>
        </w:rPr>
        <w:br w:type="page"/>
      </w:r>
    </w:p>
    <w:p w14:paraId="22512E2D" w14:textId="77777777" w:rsidR="00AE654E" w:rsidRPr="008441F8" w:rsidRDefault="00AE654E" w:rsidP="00B84A00">
      <w:pPr>
        <w:spacing w:line="276" w:lineRule="auto"/>
        <w:rPr>
          <w:lang w:val="en-US"/>
        </w:rPr>
        <w:sectPr w:rsidR="00AE654E" w:rsidRPr="008441F8" w:rsidSect="00EC3B74">
          <w:headerReference w:type="default" r:id="rId19"/>
          <w:footerReference w:type="default" r:id="rId20"/>
          <w:pgSz w:w="11906" w:h="16838"/>
          <w:pgMar w:top="1417" w:right="1417" w:bottom="1134" w:left="1417" w:header="708" w:footer="708" w:gutter="0"/>
          <w:cols w:space="708"/>
          <w:docGrid w:linePitch="360"/>
        </w:sectPr>
      </w:pPr>
    </w:p>
    <w:p w14:paraId="1F6527AD" w14:textId="77777777" w:rsidR="00AE654E" w:rsidRPr="008441F8" w:rsidRDefault="00AE654E" w:rsidP="00B84A00">
      <w:pPr>
        <w:pStyle w:val="berschrift2"/>
        <w:spacing w:line="276" w:lineRule="auto"/>
        <w:rPr>
          <w:lang w:val="en-US"/>
        </w:rPr>
      </w:pPr>
      <w:bookmarkStart w:id="4" w:name="_Toc132047258"/>
      <w:r w:rsidRPr="008441F8">
        <w:rPr>
          <w:b/>
          <w:lang w:val="en-US"/>
        </w:rPr>
        <w:lastRenderedPageBreak/>
        <w:t>Table S1:</w:t>
      </w:r>
      <w:r w:rsidRPr="008441F8">
        <w:rPr>
          <w:lang w:val="en-US"/>
        </w:rPr>
        <w:t xml:space="preserve"> Bacterial strains used in this study</w:t>
      </w:r>
      <w:bookmarkEnd w:id="4"/>
    </w:p>
    <w:tbl>
      <w:tblPr>
        <w:tblStyle w:val="Tabellenraster"/>
        <w:tblW w:w="0" w:type="auto"/>
        <w:tblLook w:val="04A0" w:firstRow="1" w:lastRow="0" w:firstColumn="1" w:lastColumn="0" w:noHBand="0" w:noVBand="1"/>
      </w:tblPr>
      <w:tblGrid>
        <w:gridCol w:w="5524"/>
        <w:gridCol w:w="6095"/>
        <w:gridCol w:w="2551"/>
      </w:tblGrid>
      <w:tr w:rsidR="00AE654E" w:rsidRPr="008441F8" w14:paraId="138E0839" w14:textId="77777777" w:rsidTr="005B7F65">
        <w:tc>
          <w:tcPr>
            <w:tcW w:w="5524" w:type="dxa"/>
          </w:tcPr>
          <w:p w14:paraId="06AFDB96" w14:textId="77777777" w:rsidR="00AE654E" w:rsidRPr="008441F8" w:rsidRDefault="00AE654E" w:rsidP="000165F5">
            <w:pPr>
              <w:jc w:val="both"/>
              <w:rPr>
                <w:b/>
                <w:sz w:val="18"/>
                <w:lang w:val="en-US"/>
              </w:rPr>
            </w:pPr>
            <w:r w:rsidRPr="008441F8">
              <w:rPr>
                <w:b/>
                <w:sz w:val="18"/>
                <w:lang w:val="en-US"/>
              </w:rPr>
              <w:t>Strains</w:t>
            </w:r>
          </w:p>
        </w:tc>
        <w:tc>
          <w:tcPr>
            <w:tcW w:w="6095" w:type="dxa"/>
          </w:tcPr>
          <w:p w14:paraId="2387C4C3" w14:textId="77777777" w:rsidR="00AE654E" w:rsidRPr="008441F8" w:rsidRDefault="00AE654E" w:rsidP="000165F5">
            <w:pPr>
              <w:jc w:val="both"/>
              <w:rPr>
                <w:b/>
                <w:sz w:val="18"/>
                <w:lang w:val="en-US"/>
              </w:rPr>
            </w:pPr>
            <w:r w:rsidRPr="008441F8">
              <w:rPr>
                <w:b/>
                <w:sz w:val="18"/>
                <w:lang w:val="en-US"/>
              </w:rPr>
              <w:t>Relevant characteristics</w:t>
            </w:r>
          </w:p>
        </w:tc>
        <w:tc>
          <w:tcPr>
            <w:tcW w:w="2551" w:type="dxa"/>
          </w:tcPr>
          <w:p w14:paraId="2A943A51" w14:textId="77777777" w:rsidR="00AE654E" w:rsidRPr="008441F8" w:rsidRDefault="00AE654E" w:rsidP="000165F5">
            <w:pPr>
              <w:jc w:val="both"/>
              <w:rPr>
                <w:b/>
                <w:sz w:val="18"/>
                <w:lang w:val="en-US"/>
              </w:rPr>
            </w:pPr>
            <w:r w:rsidRPr="008441F8">
              <w:rPr>
                <w:b/>
                <w:sz w:val="18"/>
                <w:lang w:val="en-US"/>
              </w:rPr>
              <w:t>Reference</w:t>
            </w:r>
          </w:p>
        </w:tc>
      </w:tr>
      <w:tr w:rsidR="00AE654E" w:rsidRPr="008441F8" w14:paraId="3AE40C87" w14:textId="77777777" w:rsidTr="005B7F65">
        <w:tc>
          <w:tcPr>
            <w:tcW w:w="5524" w:type="dxa"/>
          </w:tcPr>
          <w:p w14:paraId="4ADE4188" w14:textId="77777777" w:rsidR="00AE654E" w:rsidRPr="008441F8" w:rsidRDefault="00AE654E" w:rsidP="000165F5">
            <w:pPr>
              <w:jc w:val="both"/>
              <w:rPr>
                <w:b/>
                <w:i/>
                <w:sz w:val="18"/>
                <w:lang w:val="en-US"/>
              </w:rPr>
            </w:pPr>
            <w:r w:rsidRPr="008441F8">
              <w:rPr>
                <w:b/>
                <w:i/>
                <w:sz w:val="18"/>
                <w:lang w:val="en-US"/>
              </w:rPr>
              <w:t>Escherichia coli</w:t>
            </w:r>
          </w:p>
        </w:tc>
        <w:tc>
          <w:tcPr>
            <w:tcW w:w="6095" w:type="dxa"/>
          </w:tcPr>
          <w:p w14:paraId="4B84DB8B" w14:textId="77777777" w:rsidR="00AE654E" w:rsidRPr="008441F8" w:rsidRDefault="00AE654E" w:rsidP="000165F5">
            <w:pPr>
              <w:jc w:val="both"/>
              <w:rPr>
                <w:b/>
                <w:sz w:val="18"/>
                <w:lang w:val="en-US"/>
              </w:rPr>
            </w:pPr>
          </w:p>
        </w:tc>
        <w:tc>
          <w:tcPr>
            <w:tcW w:w="2551" w:type="dxa"/>
          </w:tcPr>
          <w:p w14:paraId="42E734DE" w14:textId="77777777" w:rsidR="00AE654E" w:rsidRPr="008441F8" w:rsidRDefault="00AE654E" w:rsidP="000165F5">
            <w:pPr>
              <w:jc w:val="both"/>
              <w:rPr>
                <w:b/>
                <w:sz w:val="18"/>
                <w:lang w:val="en-US"/>
              </w:rPr>
            </w:pPr>
          </w:p>
        </w:tc>
      </w:tr>
      <w:tr w:rsidR="00AE654E" w:rsidRPr="008441F8" w14:paraId="2FCB5D58" w14:textId="77777777" w:rsidTr="005B7F65">
        <w:tc>
          <w:tcPr>
            <w:tcW w:w="5524" w:type="dxa"/>
          </w:tcPr>
          <w:p w14:paraId="59C175C0" w14:textId="77777777" w:rsidR="00AE654E" w:rsidRPr="008441F8" w:rsidRDefault="00AE654E" w:rsidP="000165F5">
            <w:pPr>
              <w:jc w:val="both"/>
              <w:rPr>
                <w:sz w:val="18"/>
                <w:lang w:val="en-US"/>
              </w:rPr>
            </w:pPr>
            <w:r w:rsidRPr="008441F8">
              <w:rPr>
                <w:sz w:val="18"/>
                <w:lang w:val="en-US"/>
              </w:rPr>
              <w:t>HB101 pRK2013</w:t>
            </w:r>
          </w:p>
        </w:tc>
        <w:tc>
          <w:tcPr>
            <w:tcW w:w="6095" w:type="dxa"/>
          </w:tcPr>
          <w:p w14:paraId="6DCF375D" w14:textId="77777777" w:rsidR="00AE654E" w:rsidRPr="008441F8" w:rsidRDefault="00AE654E" w:rsidP="000165F5">
            <w:pPr>
              <w:jc w:val="both"/>
              <w:rPr>
                <w:sz w:val="18"/>
                <w:lang w:val="en-US"/>
              </w:rPr>
            </w:pPr>
            <w:r w:rsidRPr="008441F8">
              <w:rPr>
                <w:rFonts w:cs="Times New Roman"/>
                <w:color w:val="000000" w:themeColor="text1"/>
                <w:sz w:val="18"/>
                <w:szCs w:val="18"/>
                <w:lang w:val="en-US"/>
              </w:rPr>
              <w:t>HB101 with pRK2013</w:t>
            </w:r>
          </w:p>
        </w:tc>
        <w:tc>
          <w:tcPr>
            <w:tcW w:w="2551" w:type="dxa"/>
          </w:tcPr>
          <w:p w14:paraId="418BEB36" w14:textId="77777777" w:rsidR="00AE654E" w:rsidRPr="008441F8" w:rsidRDefault="00AE654E" w:rsidP="000165F5">
            <w:pPr>
              <w:jc w:val="both"/>
              <w:rPr>
                <w:sz w:val="18"/>
                <w:lang w:val="en-US"/>
              </w:rPr>
            </w:pPr>
            <w:r w:rsidRPr="008441F8">
              <w:rPr>
                <w:sz w:val="18"/>
                <w:lang w:val="en-US"/>
              </w:rPr>
              <w:fldChar w:fldCharType="begin" w:fldLock="1"/>
            </w:r>
            <w:r w:rsidRPr="008441F8">
              <w:rPr>
                <w:sz w:val="18"/>
                <w:lang w:val="en-US"/>
              </w:rPr>
              <w:instrText>ADDIN CSL_CITATION {"citationItems":[{"id":"ITEM-1","itemData":{"DOI":"10.1073/pnas.77.12.7347","ISSN":"00278424","PMID":"7012838","author":[{"dropping-particle":"","family":"Ditta","given":"G.","non-dropping-particle":"","parse-names":false,"suffix":""},{"dropping-particle":"","family":"Stanfield","given":"S.","non-dropping-particle":"","parse-names":false,"suffix":""},{"dropping-particle":"","family":"Corbin","given":"D.","non-dropping-particle":"","parse-names":false,"suffix":""},{"dropping-particle":"","family":"Helinski","given":"D. R.","non-dropping-particle":"","parse-names":false,"suffix":""}],"container-title":"Proceedings of the National Academy of Sciences of the United States of America","id":"ITEM-1","issue":"12 II","issued":{"date-parts":[["1980"]]},"page":"7347-7351","title":"Broad host range DNA cloning system for Gram-negative bacteria: Construction of a gene bank of &lt;i&gt;Rhizobium meliloti&lt;/i&gt;","type":"article-journal","volume":"77"},"uris":["http://www.mendeley.com/documents/?uuid=addc9015-8941-4f3d-9ca3-8080ba03dc59"]}],"mendeley":{"formattedCitation":"(Ditta et al., 1980)","manualFormatting":"Ditta et al. (1980)","plainTextFormattedCitation":"(Ditta et al., 1980)","previouslyFormattedCitation":"(Ditta et al., 1980)"},"properties":{"noteIndex":0},"schema":"https://github.com/citation-style-language/schema/raw/master/csl-citation.json"}</w:instrText>
            </w:r>
            <w:r w:rsidRPr="008441F8">
              <w:rPr>
                <w:sz w:val="18"/>
                <w:lang w:val="en-US"/>
              </w:rPr>
              <w:fldChar w:fldCharType="separate"/>
            </w:r>
            <w:r w:rsidRPr="008441F8">
              <w:rPr>
                <w:noProof/>
                <w:sz w:val="18"/>
                <w:lang w:val="en-US"/>
              </w:rPr>
              <w:t>Ditta et al. (1980)</w:t>
            </w:r>
            <w:r w:rsidRPr="008441F8">
              <w:rPr>
                <w:sz w:val="18"/>
                <w:lang w:val="en-US"/>
              </w:rPr>
              <w:fldChar w:fldCharType="end"/>
            </w:r>
          </w:p>
        </w:tc>
      </w:tr>
      <w:tr w:rsidR="00AE654E" w:rsidRPr="008441F8" w14:paraId="27E0C4B0" w14:textId="77777777" w:rsidTr="005B7F65">
        <w:tc>
          <w:tcPr>
            <w:tcW w:w="5524" w:type="dxa"/>
          </w:tcPr>
          <w:p w14:paraId="27C8D3EF"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PIR2</w:t>
            </w:r>
          </w:p>
        </w:tc>
        <w:tc>
          <w:tcPr>
            <w:tcW w:w="6095" w:type="dxa"/>
          </w:tcPr>
          <w:p w14:paraId="5E773EEE" w14:textId="77777777" w:rsidR="00AE654E" w:rsidRPr="008441F8" w:rsidRDefault="00AE654E" w:rsidP="000165F5">
            <w:pPr>
              <w:rPr>
                <w:rFonts w:cs="Times New Roman"/>
                <w:color w:val="000000" w:themeColor="text1"/>
                <w:sz w:val="18"/>
                <w:szCs w:val="18"/>
                <w:lang w:val="en-US"/>
              </w:rPr>
            </w:pPr>
            <w:r w:rsidRPr="008441F8">
              <w:rPr>
                <w:i/>
                <w:sz w:val="18"/>
                <w:szCs w:val="18"/>
                <w:lang w:val="en-US"/>
              </w:rPr>
              <w:t>F</w:t>
            </w:r>
            <w:r w:rsidRPr="008441F8">
              <w:rPr>
                <w:i/>
                <w:sz w:val="18"/>
                <w:szCs w:val="18"/>
                <w:vertAlign w:val="superscript"/>
                <w:lang w:val="en-US"/>
              </w:rPr>
              <w:t>−</w:t>
            </w:r>
            <w:r w:rsidRPr="008441F8">
              <w:rPr>
                <w:sz w:val="18"/>
                <w:szCs w:val="18"/>
                <w:vertAlign w:val="superscript"/>
                <w:lang w:val="en-US"/>
              </w:rPr>
              <w:t xml:space="preserve"> </w:t>
            </w:r>
            <w:r w:rsidRPr="008441F8">
              <w:rPr>
                <w:rFonts w:cs="Arial"/>
                <w:sz w:val="18"/>
                <w:szCs w:val="18"/>
                <w:lang w:val="en-US"/>
              </w:rPr>
              <w:t>∆</w:t>
            </w:r>
            <w:r w:rsidRPr="008441F8">
              <w:rPr>
                <w:i/>
                <w:sz w:val="18"/>
                <w:szCs w:val="18"/>
                <w:lang w:val="en-US"/>
              </w:rPr>
              <w:t>lac169</w:t>
            </w:r>
            <w:r w:rsidRPr="008441F8">
              <w:rPr>
                <w:sz w:val="18"/>
                <w:szCs w:val="18"/>
                <w:lang w:val="en-US"/>
              </w:rPr>
              <w:t xml:space="preserve"> </w:t>
            </w:r>
            <w:r w:rsidRPr="008441F8">
              <w:rPr>
                <w:i/>
                <w:sz w:val="18"/>
                <w:szCs w:val="18"/>
                <w:lang w:val="en-US"/>
              </w:rPr>
              <w:t>rpoS</w:t>
            </w:r>
            <w:r w:rsidRPr="008441F8">
              <w:rPr>
                <w:i/>
                <w:iCs/>
                <w:sz w:val="18"/>
                <w:szCs w:val="18"/>
                <w:lang w:val="en-US"/>
              </w:rPr>
              <w:t>(Am)</w:t>
            </w:r>
            <w:r w:rsidRPr="008441F8">
              <w:rPr>
                <w:sz w:val="18"/>
                <w:szCs w:val="18"/>
                <w:lang w:val="en-US"/>
              </w:rPr>
              <w:t xml:space="preserve"> </w:t>
            </w:r>
            <w:r w:rsidRPr="008441F8">
              <w:rPr>
                <w:i/>
                <w:sz w:val="18"/>
                <w:szCs w:val="18"/>
                <w:lang w:val="en-US"/>
              </w:rPr>
              <w:t>robA1 creC510 hsdR514 endA</w:t>
            </w:r>
            <w:r w:rsidRPr="008441F8">
              <w:rPr>
                <w:sz w:val="18"/>
                <w:szCs w:val="18"/>
                <w:lang w:val="en-US"/>
              </w:rPr>
              <w:t xml:space="preserve"> </w:t>
            </w:r>
            <w:r w:rsidRPr="008441F8">
              <w:rPr>
                <w:i/>
                <w:sz w:val="18"/>
                <w:szCs w:val="18"/>
                <w:lang w:val="en-US"/>
              </w:rPr>
              <w:t>recA1 uidA</w:t>
            </w:r>
            <w:r w:rsidRPr="008441F8">
              <w:rPr>
                <w:i/>
                <w:iCs/>
                <w:sz w:val="18"/>
                <w:szCs w:val="18"/>
                <w:lang w:val="en-US"/>
              </w:rPr>
              <w:t>(</w:t>
            </w:r>
            <w:r w:rsidRPr="008441F8">
              <w:rPr>
                <w:rFonts w:cs="Arial"/>
                <w:sz w:val="18"/>
                <w:szCs w:val="18"/>
                <w:lang w:val="en-US"/>
              </w:rPr>
              <w:t>∆</w:t>
            </w:r>
            <w:r w:rsidRPr="008441F8">
              <w:rPr>
                <w:i/>
                <w:sz w:val="18"/>
                <w:szCs w:val="18"/>
                <w:lang w:val="en-US"/>
              </w:rPr>
              <w:t>MluI)</w:t>
            </w:r>
            <w:r w:rsidRPr="008441F8">
              <w:rPr>
                <w:sz w:val="18"/>
                <w:szCs w:val="18"/>
                <w:lang w:val="en-US"/>
              </w:rPr>
              <w:t>::</w:t>
            </w:r>
            <w:r w:rsidRPr="008441F8">
              <w:rPr>
                <w:i/>
                <w:sz w:val="18"/>
                <w:szCs w:val="18"/>
                <w:lang w:val="en-US"/>
              </w:rPr>
              <w:t>pir</w:t>
            </w:r>
            <w:r w:rsidRPr="008441F8">
              <w:rPr>
                <w:sz w:val="18"/>
                <w:szCs w:val="18"/>
                <w:lang w:val="en-US"/>
              </w:rPr>
              <w:t>;</w:t>
            </w:r>
            <w:r w:rsidRPr="008441F8">
              <w:rPr>
                <w:rFonts w:cs="Times New Roman"/>
                <w:color w:val="000000" w:themeColor="text1"/>
                <w:sz w:val="18"/>
                <w:szCs w:val="18"/>
                <w:lang w:val="en-US"/>
              </w:rPr>
              <w:t xml:space="preserve"> host for </w:t>
            </w:r>
            <w:r w:rsidRPr="008441F8">
              <w:rPr>
                <w:rFonts w:cs="Times New Roman"/>
                <w:i/>
                <w:color w:val="000000" w:themeColor="text1"/>
                <w:sz w:val="18"/>
                <w:szCs w:val="18"/>
                <w:lang w:val="en-US"/>
              </w:rPr>
              <w:t xml:space="preserve">oriV(R6K) </w:t>
            </w:r>
            <w:r w:rsidRPr="008441F8">
              <w:rPr>
                <w:rFonts w:cs="Times New Roman"/>
                <w:color w:val="000000" w:themeColor="text1"/>
                <w:sz w:val="18"/>
                <w:szCs w:val="18"/>
                <w:lang w:val="en-US"/>
              </w:rPr>
              <w:t>plasmids</w:t>
            </w:r>
          </w:p>
        </w:tc>
        <w:tc>
          <w:tcPr>
            <w:tcW w:w="2551" w:type="dxa"/>
          </w:tcPr>
          <w:p w14:paraId="1FB618C3" w14:textId="77777777" w:rsidR="00AE654E" w:rsidRPr="008441F8" w:rsidRDefault="00AE654E" w:rsidP="000165F5">
            <w:pPr>
              <w:jc w:val="both"/>
              <w:rPr>
                <w:sz w:val="18"/>
                <w:lang w:val="en-US"/>
              </w:rPr>
            </w:pPr>
            <w:r w:rsidRPr="008441F8">
              <w:rPr>
                <w:sz w:val="18"/>
                <w:lang w:val="en-US"/>
              </w:rPr>
              <w:t>Thermo Fischer Scientific</w:t>
            </w:r>
          </w:p>
        </w:tc>
      </w:tr>
      <w:tr w:rsidR="00AE654E" w:rsidRPr="008441F8" w14:paraId="0AE55B1B" w14:textId="77777777" w:rsidTr="005B7F65">
        <w:tc>
          <w:tcPr>
            <w:tcW w:w="5524" w:type="dxa"/>
          </w:tcPr>
          <w:p w14:paraId="74E6513A"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DH5α</w:t>
            </w:r>
          </w:p>
        </w:tc>
        <w:tc>
          <w:tcPr>
            <w:tcW w:w="6095" w:type="dxa"/>
          </w:tcPr>
          <w:p w14:paraId="42C70E3D" w14:textId="77777777" w:rsidR="00AE654E" w:rsidRPr="008441F8" w:rsidRDefault="00AE654E" w:rsidP="000165F5">
            <w:pPr>
              <w:rPr>
                <w:rFonts w:cs="Times New Roman"/>
                <w:i/>
                <w:color w:val="000000" w:themeColor="text1"/>
                <w:sz w:val="18"/>
                <w:szCs w:val="18"/>
                <w:lang w:val="en-US"/>
              </w:rPr>
            </w:pPr>
            <w:r w:rsidRPr="008441F8">
              <w:rPr>
                <w:rFonts w:cs="Times New Roman"/>
                <w:color w:val="000000" w:themeColor="text1"/>
                <w:sz w:val="18"/>
                <w:szCs w:val="18"/>
                <w:lang w:val="en-US"/>
              </w:rPr>
              <w:t>F</w:t>
            </w:r>
            <w:r w:rsidRPr="008441F8">
              <w:rPr>
                <w:rFonts w:cs="Times New Roman"/>
                <w:color w:val="000000" w:themeColor="text1"/>
                <w:sz w:val="18"/>
                <w:szCs w:val="18"/>
                <w:vertAlign w:val="superscript"/>
                <w:lang w:val="en-US"/>
              </w:rPr>
              <w:t>−</w:t>
            </w:r>
            <w:r w:rsidRPr="008441F8">
              <w:rPr>
                <w:rFonts w:cs="Times New Roman"/>
                <w:color w:val="000000" w:themeColor="text1"/>
                <w:sz w:val="18"/>
                <w:szCs w:val="18"/>
                <w:lang w:val="en-US"/>
              </w:rPr>
              <w:t xml:space="preserve"> </w:t>
            </w:r>
            <w:r w:rsidRPr="008441F8">
              <w:rPr>
                <w:rFonts w:cs="Times New Roman"/>
                <w:i/>
                <w:iCs/>
                <w:color w:val="000000" w:themeColor="text1"/>
                <w:sz w:val="18"/>
                <w:szCs w:val="18"/>
                <w:lang w:val="en-US"/>
              </w:rPr>
              <w:t>Φ80 lac</w:t>
            </w:r>
            <w:r w:rsidRPr="008441F8">
              <w:rPr>
                <w:rFonts w:cs="Times New Roman"/>
                <w:color w:val="000000" w:themeColor="text1"/>
                <w:sz w:val="18"/>
                <w:szCs w:val="18"/>
                <w:lang w:val="en-US"/>
              </w:rPr>
              <w:t>ZΔM15 Δ(</w:t>
            </w:r>
            <w:r w:rsidRPr="008441F8">
              <w:rPr>
                <w:rFonts w:cs="Times New Roman"/>
                <w:i/>
                <w:iCs/>
                <w:color w:val="000000" w:themeColor="text1"/>
                <w:sz w:val="18"/>
                <w:szCs w:val="18"/>
                <w:lang w:val="en-US"/>
              </w:rPr>
              <w:t>lac</w:t>
            </w:r>
            <w:r w:rsidRPr="008441F8">
              <w:rPr>
                <w:rFonts w:cs="Times New Roman"/>
                <w:color w:val="000000" w:themeColor="text1"/>
                <w:sz w:val="18"/>
                <w:szCs w:val="18"/>
                <w:lang w:val="en-US"/>
              </w:rPr>
              <w:t>ZYA-</w:t>
            </w:r>
            <w:r w:rsidRPr="008441F8">
              <w:rPr>
                <w:rFonts w:cs="Times New Roman"/>
                <w:i/>
                <w:iCs/>
                <w:color w:val="000000" w:themeColor="text1"/>
                <w:sz w:val="18"/>
                <w:szCs w:val="18"/>
                <w:lang w:val="en-US"/>
              </w:rPr>
              <w:t>arg</w:t>
            </w:r>
            <w:r w:rsidRPr="008441F8">
              <w:rPr>
                <w:rFonts w:cs="Times New Roman"/>
                <w:color w:val="000000" w:themeColor="text1"/>
                <w:sz w:val="18"/>
                <w:szCs w:val="18"/>
                <w:lang w:val="en-US"/>
              </w:rPr>
              <w:t>F)</w:t>
            </w:r>
            <w:r w:rsidRPr="008441F8">
              <w:rPr>
                <w:rFonts w:cs="Times New Roman"/>
                <w:i/>
                <w:iCs/>
                <w:color w:val="000000" w:themeColor="text1"/>
                <w:sz w:val="18"/>
                <w:szCs w:val="18"/>
                <w:lang w:val="en-US"/>
              </w:rPr>
              <w:t>U169</w:t>
            </w:r>
            <w:r w:rsidRPr="008441F8">
              <w:rPr>
                <w:rFonts w:cs="Times New Roman"/>
                <w:color w:val="000000" w:themeColor="text1"/>
                <w:sz w:val="18"/>
                <w:szCs w:val="18"/>
                <w:lang w:val="en-US"/>
              </w:rPr>
              <w:t xml:space="preserve"> </w:t>
            </w:r>
            <w:r w:rsidRPr="008441F8">
              <w:rPr>
                <w:rFonts w:cs="Times New Roman"/>
                <w:i/>
                <w:iCs/>
                <w:color w:val="000000" w:themeColor="text1"/>
                <w:sz w:val="18"/>
                <w:szCs w:val="18"/>
                <w:lang w:val="en-US"/>
              </w:rPr>
              <w:t>recA1 endA1</w:t>
            </w:r>
            <w:r w:rsidRPr="008441F8">
              <w:rPr>
                <w:rFonts w:cs="Times New Roman"/>
                <w:color w:val="000000" w:themeColor="text1"/>
                <w:sz w:val="18"/>
                <w:szCs w:val="18"/>
                <w:lang w:val="en-US"/>
              </w:rPr>
              <w:t xml:space="preserve"> </w:t>
            </w:r>
            <w:r w:rsidRPr="008441F8">
              <w:rPr>
                <w:rFonts w:cs="Times New Roman"/>
                <w:i/>
                <w:iCs/>
                <w:color w:val="000000" w:themeColor="text1"/>
                <w:sz w:val="18"/>
                <w:szCs w:val="18"/>
                <w:lang w:val="en-US"/>
              </w:rPr>
              <w:t>hsdR17</w:t>
            </w:r>
            <w:r w:rsidRPr="008441F8">
              <w:rPr>
                <w:rFonts w:cs="Times New Roman"/>
                <w:color w:val="000000" w:themeColor="text1"/>
                <w:sz w:val="18"/>
                <w:szCs w:val="18"/>
                <w:lang w:val="en-US"/>
              </w:rPr>
              <w:t>(r</w:t>
            </w:r>
            <w:r w:rsidRPr="008441F8">
              <w:rPr>
                <w:rFonts w:cs="Times New Roman"/>
                <w:color w:val="000000" w:themeColor="text1"/>
                <w:sz w:val="18"/>
                <w:szCs w:val="18"/>
                <w:vertAlign w:val="subscript"/>
                <w:lang w:val="en-US"/>
              </w:rPr>
              <w:t>k</w:t>
            </w:r>
            <w:r w:rsidRPr="008441F8">
              <w:rPr>
                <w:rFonts w:cs="Times New Roman"/>
                <w:color w:val="000000" w:themeColor="text1"/>
                <w:sz w:val="18"/>
                <w:szCs w:val="18"/>
                <w:vertAlign w:val="superscript"/>
                <w:lang w:val="en-US"/>
              </w:rPr>
              <w:t>−</w:t>
            </w:r>
            <w:r w:rsidRPr="008441F8">
              <w:rPr>
                <w:rFonts w:cs="Times New Roman"/>
                <w:color w:val="000000" w:themeColor="text1"/>
                <w:sz w:val="18"/>
                <w:szCs w:val="18"/>
                <w:lang w:val="en-US"/>
              </w:rPr>
              <w:t>, m</w:t>
            </w:r>
            <w:r w:rsidRPr="008441F8">
              <w:rPr>
                <w:rFonts w:cs="Times New Roman"/>
                <w:color w:val="000000" w:themeColor="text1"/>
                <w:sz w:val="18"/>
                <w:szCs w:val="18"/>
                <w:vertAlign w:val="subscript"/>
                <w:lang w:val="en-US"/>
              </w:rPr>
              <w:t>k</w:t>
            </w:r>
            <w:r w:rsidRPr="008441F8">
              <w:rPr>
                <w:rFonts w:cs="Times New Roman"/>
                <w:color w:val="000000" w:themeColor="text1"/>
                <w:sz w:val="18"/>
                <w:szCs w:val="18"/>
                <w:vertAlign w:val="superscript"/>
                <w:lang w:val="en-US"/>
              </w:rPr>
              <w:t>+</w:t>
            </w:r>
            <w:r w:rsidRPr="008441F8">
              <w:rPr>
                <w:rFonts w:cs="Times New Roman"/>
                <w:color w:val="000000" w:themeColor="text1"/>
                <w:sz w:val="18"/>
                <w:szCs w:val="18"/>
                <w:lang w:val="en-US"/>
              </w:rPr>
              <w:t xml:space="preserve">) </w:t>
            </w:r>
            <w:r w:rsidRPr="008441F8">
              <w:rPr>
                <w:rFonts w:cs="Times New Roman"/>
                <w:i/>
                <w:iCs/>
                <w:color w:val="000000" w:themeColor="text1"/>
                <w:sz w:val="18"/>
                <w:szCs w:val="18"/>
                <w:lang w:val="en-US"/>
              </w:rPr>
              <w:t>phoA</w:t>
            </w:r>
            <w:r w:rsidRPr="008441F8">
              <w:rPr>
                <w:rFonts w:cs="Times New Roman"/>
                <w:color w:val="000000" w:themeColor="text1"/>
                <w:sz w:val="18"/>
                <w:szCs w:val="18"/>
                <w:lang w:val="en-US"/>
              </w:rPr>
              <w:t xml:space="preserve"> </w:t>
            </w:r>
            <w:r w:rsidRPr="008441F8">
              <w:rPr>
                <w:rFonts w:cs="Times New Roman"/>
                <w:i/>
                <w:iCs/>
                <w:color w:val="000000" w:themeColor="text1"/>
                <w:sz w:val="18"/>
                <w:szCs w:val="18"/>
                <w:lang w:val="en-US"/>
              </w:rPr>
              <w:t>supE44 thi-1 gyrA96</w:t>
            </w:r>
            <w:r w:rsidRPr="008441F8">
              <w:rPr>
                <w:rFonts w:cs="Times New Roman"/>
                <w:color w:val="000000" w:themeColor="text1"/>
                <w:sz w:val="18"/>
                <w:szCs w:val="18"/>
                <w:lang w:val="en-US"/>
              </w:rPr>
              <w:t xml:space="preserve"> </w:t>
            </w:r>
            <w:r w:rsidRPr="008441F8">
              <w:rPr>
                <w:rFonts w:cs="Times New Roman"/>
                <w:i/>
                <w:iCs/>
                <w:color w:val="000000" w:themeColor="text1"/>
                <w:sz w:val="18"/>
                <w:szCs w:val="18"/>
                <w:lang w:val="en-US"/>
              </w:rPr>
              <w:t>relA1</w:t>
            </w:r>
            <w:r w:rsidRPr="008441F8">
              <w:rPr>
                <w:rFonts w:cs="Times New Roman"/>
                <w:color w:val="000000" w:themeColor="text1"/>
                <w:sz w:val="18"/>
                <w:szCs w:val="18"/>
                <w:lang w:val="en-US"/>
              </w:rPr>
              <w:t xml:space="preserve"> λ</w:t>
            </w:r>
            <w:r w:rsidRPr="008441F8">
              <w:rPr>
                <w:rFonts w:cs="Times New Roman"/>
                <w:color w:val="000000" w:themeColor="text1"/>
                <w:sz w:val="18"/>
                <w:szCs w:val="18"/>
                <w:vertAlign w:val="superscript"/>
                <w:lang w:val="en-US"/>
              </w:rPr>
              <w:t>−</w:t>
            </w:r>
          </w:p>
        </w:tc>
        <w:tc>
          <w:tcPr>
            <w:tcW w:w="2551" w:type="dxa"/>
          </w:tcPr>
          <w:p w14:paraId="697A10DA" w14:textId="77777777" w:rsidR="00AE654E" w:rsidRPr="008441F8" w:rsidRDefault="00AE654E" w:rsidP="000165F5">
            <w:pPr>
              <w:jc w:val="both"/>
              <w:rPr>
                <w:sz w:val="18"/>
                <w:lang w:val="en-US"/>
              </w:rPr>
            </w:pPr>
            <w:r w:rsidRPr="008441F8">
              <w:rPr>
                <w:sz w:val="18"/>
                <w:lang w:val="en-US"/>
              </w:rPr>
              <w:t>Thermo Fischer Scientific</w:t>
            </w:r>
          </w:p>
        </w:tc>
      </w:tr>
      <w:tr w:rsidR="00AE654E" w:rsidRPr="008441F8" w14:paraId="61497EEF" w14:textId="77777777" w:rsidTr="005B7F65">
        <w:tc>
          <w:tcPr>
            <w:tcW w:w="5524" w:type="dxa"/>
          </w:tcPr>
          <w:p w14:paraId="1BE4E178"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DH5α λ</w:t>
            </w:r>
            <w:r w:rsidRPr="008441F8">
              <w:rPr>
                <w:rFonts w:cs="Times New Roman"/>
                <w:i/>
                <w:color w:val="000000" w:themeColor="text1"/>
                <w:sz w:val="18"/>
                <w:szCs w:val="18"/>
                <w:lang w:val="en-US"/>
              </w:rPr>
              <w:t>pir</w:t>
            </w:r>
          </w:p>
        </w:tc>
        <w:tc>
          <w:tcPr>
            <w:tcW w:w="6095" w:type="dxa"/>
          </w:tcPr>
          <w:p w14:paraId="36AA7716"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λ</w:t>
            </w:r>
            <w:r w:rsidRPr="008441F8">
              <w:rPr>
                <w:rFonts w:cs="Times New Roman"/>
                <w:i/>
                <w:color w:val="000000" w:themeColor="text1"/>
                <w:sz w:val="18"/>
                <w:szCs w:val="18"/>
                <w:lang w:val="en-US"/>
              </w:rPr>
              <w:t xml:space="preserve">pir </w:t>
            </w:r>
            <w:r w:rsidRPr="008441F8">
              <w:rPr>
                <w:rFonts w:cs="Times New Roman"/>
                <w:color w:val="000000" w:themeColor="text1"/>
                <w:sz w:val="18"/>
                <w:szCs w:val="18"/>
                <w:lang w:val="en-US"/>
              </w:rPr>
              <w:t xml:space="preserve">lysogen of DH5α; host for </w:t>
            </w:r>
            <w:r w:rsidRPr="008441F8">
              <w:rPr>
                <w:rFonts w:cs="Times New Roman"/>
                <w:i/>
                <w:color w:val="000000" w:themeColor="text1"/>
                <w:sz w:val="18"/>
                <w:szCs w:val="18"/>
                <w:lang w:val="en-US"/>
              </w:rPr>
              <w:t xml:space="preserve">oriV(R6K) </w:t>
            </w:r>
            <w:r w:rsidRPr="008441F8">
              <w:rPr>
                <w:rFonts w:cs="Times New Roman"/>
                <w:color w:val="000000" w:themeColor="text1"/>
                <w:sz w:val="18"/>
                <w:szCs w:val="18"/>
                <w:lang w:val="en-US"/>
              </w:rPr>
              <w:t>plasmids</w:t>
            </w:r>
          </w:p>
        </w:tc>
        <w:tc>
          <w:tcPr>
            <w:tcW w:w="2551" w:type="dxa"/>
          </w:tcPr>
          <w:p w14:paraId="44A74D33" w14:textId="77777777" w:rsidR="00AE654E" w:rsidRPr="008441F8" w:rsidRDefault="00AE654E" w:rsidP="000165F5">
            <w:pPr>
              <w:jc w:val="both"/>
              <w:rPr>
                <w:sz w:val="18"/>
                <w:lang w:val="en-US"/>
              </w:rPr>
            </w:pPr>
            <w:r w:rsidRPr="008441F8">
              <w:rPr>
                <w:sz w:val="18"/>
                <w:lang w:val="en-US"/>
              </w:rPr>
              <w:t>Víctor de Lorenzo lab</w:t>
            </w:r>
          </w:p>
        </w:tc>
      </w:tr>
      <w:tr w:rsidR="00AE654E" w:rsidRPr="008441F8" w14:paraId="248A8CB6" w14:textId="77777777" w:rsidTr="005B7F65">
        <w:tc>
          <w:tcPr>
            <w:tcW w:w="5524" w:type="dxa"/>
          </w:tcPr>
          <w:p w14:paraId="5B9775C2"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DH5α λ</w:t>
            </w:r>
            <w:r w:rsidRPr="008441F8">
              <w:rPr>
                <w:rFonts w:cs="Times New Roman"/>
                <w:i/>
                <w:color w:val="000000" w:themeColor="text1"/>
                <w:sz w:val="18"/>
                <w:szCs w:val="18"/>
                <w:lang w:val="en-US"/>
              </w:rPr>
              <w:t>pir</w:t>
            </w:r>
            <w:r w:rsidRPr="008441F8">
              <w:rPr>
                <w:rFonts w:cs="Times New Roman"/>
                <w:color w:val="000000" w:themeColor="text1"/>
                <w:sz w:val="18"/>
                <w:szCs w:val="18"/>
                <w:lang w:val="en-US"/>
              </w:rPr>
              <w:t xml:space="preserve"> pTNS1</w:t>
            </w:r>
          </w:p>
        </w:tc>
        <w:tc>
          <w:tcPr>
            <w:tcW w:w="6095" w:type="dxa"/>
          </w:tcPr>
          <w:p w14:paraId="5C8D72A2"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DH5α λ</w:t>
            </w:r>
            <w:r w:rsidRPr="008441F8">
              <w:rPr>
                <w:rFonts w:cs="Times New Roman"/>
                <w:i/>
                <w:color w:val="000000" w:themeColor="text1"/>
                <w:sz w:val="18"/>
                <w:szCs w:val="18"/>
                <w:lang w:val="en-US"/>
              </w:rPr>
              <w:t>pir</w:t>
            </w:r>
            <w:r w:rsidRPr="008441F8">
              <w:rPr>
                <w:rFonts w:cs="Times New Roman"/>
                <w:color w:val="000000" w:themeColor="text1"/>
                <w:sz w:val="18"/>
                <w:szCs w:val="18"/>
                <w:lang w:val="en-US"/>
              </w:rPr>
              <w:t> with pTNS1</w:t>
            </w:r>
          </w:p>
        </w:tc>
        <w:tc>
          <w:tcPr>
            <w:tcW w:w="2551" w:type="dxa"/>
          </w:tcPr>
          <w:p w14:paraId="3973A4EB" w14:textId="77777777" w:rsidR="00AE654E" w:rsidRPr="008441F8" w:rsidRDefault="00AE654E" w:rsidP="000165F5">
            <w:pPr>
              <w:keepNext/>
              <w:jc w:val="both"/>
              <w:rPr>
                <w:sz w:val="18"/>
                <w:lang w:val="en-US"/>
              </w:rPr>
            </w:pPr>
            <w:r w:rsidRPr="008441F8">
              <w:rPr>
                <w:sz w:val="18"/>
                <w:lang w:val="en-US"/>
              </w:rPr>
              <w:fldChar w:fldCharType="begin" w:fldLock="1"/>
            </w:r>
            <w:r w:rsidRPr="008441F8">
              <w:rPr>
                <w:sz w:val="18"/>
                <w:lang w:val="en-US"/>
              </w:rPr>
              <w:instrText>ADDIN CSL_CITATION {"citationItems":[{"id":"ITEM-1","itemData":{"DOI":"10.1038/nmeth765","ISSN":"15487091","abstract":"For many bacteria, cloning and expression systems are either scarce or nonexistent. We constructed several mini-Tn7 vectors and evaluated their potential as broad-range cloning and expression systems. In bacteria with a single chromosome, including Pseudomonas aeruginosa, Pseudomonas putida and Yersinia pestis, and in the presence of a helper plasmid encoding the site-specific transposition pathway, site- and orientation-specific Tn7 insertions occurred at a single attTn7 site downstream of the glmS gene. Burkholderia thailandensis contains two chromosomes, each containing a glmS gene and an attTn7 site. The Tn7 system allows engineering of diverse genetic traits into bacteria, as demonstrated by complementing a biofilm-growth defect of P. aeruginosa, establishing expression systems in P. aeruginosa and P. putida, and 'GFP-tagging' Y. pestis. This system will thus have widespread biomedical and environmental applications, especially in environments where plasmids and antibiotic selection are not feasible, namely in plant and animal models or biofilms.","author":[{"dropping-particle":"","family":"Choi","given":"Kyoung Hee","non-dropping-particle":"","parse-names":false,"suffix":""},{"dropping-particle":"","family":"Gaynor","given":"Jared B.","non-dropping-particle":"","parse-names":false,"suffix":""},{"dropping-particle":"","family":"White","given":"Kimberly G.","non-dropping-particle":"","parse-names":false,"suffix":""},{"dropping-particle":"","family":"Lopez","given":"Carolina","non-dropping-particle":"","parse-names":false,"suffix":""},{"dropping-particle":"","family":"Bosio","given":"Catharine M.","non-dropping-particle":"","parse-names":false,"suffix":""},{"dropping-particle":"","family":"Karkhoff-Schweizer","given":"Rox Ann R.","non-dropping-particle":"","parse-names":false,"suffix":""},{"dropping-particle":"","family":"Schweizer","given":"Herbert P.","non-dropping-particle":"","parse-names":false,"suffix":""}],"container-title":"Nature Methods","id":"ITEM-1","issue":"6","issued":{"date-parts":[["2005"]]},"page":"443-448","title":"A Tn7-based broad-range bacterial cloning and expression system","type":"article-journal","volume":"2"},"uris":["http://www.mendeley.com/documents/?uuid=6045c079-94ed-4705-a5d6-37a81124725d"]}],"mendeley":{"formattedCitation":"(Choi et al., 2005)","manualFormatting":"Choi et al. (2005)","plainTextFormattedCitation":"(Choi et al., 2005)","previouslyFormattedCitation":"(Choi et al., 2005)"},"properties":{"noteIndex":0},"schema":"https://github.com/citation-style-language/schema/raw/master/csl-citation.json"}</w:instrText>
            </w:r>
            <w:r w:rsidRPr="008441F8">
              <w:rPr>
                <w:sz w:val="18"/>
                <w:lang w:val="en-US"/>
              </w:rPr>
              <w:fldChar w:fldCharType="separate"/>
            </w:r>
            <w:r w:rsidRPr="008441F8">
              <w:rPr>
                <w:noProof/>
                <w:sz w:val="18"/>
                <w:lang w:val="en-US"/>
              </w:rPr>
              <w:t>Choi et al. (2005)</w:t>
            </w:r>
            <w:r w:rsidRPr="008441F8">
              <w:rPr>
                <w:sz w:val="18"/>
                <w:lang w:val="en-US"/>
              </w:rPr>
              <w:fldChar w:fldCharType="end"/>
            </w:r>
          </w:p>
        </w:tc>
      </w:tr>
      <w:tr w:rsidR="00AE654E" w:rsidRPr="00B84A00" w14:paraId="18508FDE" w14:textId="77777777" w:rsidTr="005B7F65">
        <w:tc>
          <w:tcPr>
            <w:tcW w:w="5524" w:type="dxa"/>
          </w:tcPr>
          <w:p w14:paraId="7244E493"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DH5α pSW-2</w:t>
            </w:r>
          </w:p>
        </w:tc>
        <w:tc>
          <w:tcPr>
            <w:tcW w:w="6095" w:type="dxa"/>
          </w:tcPr>
          <w:p w14:paraId="5801E006"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DH5α with pSW-2</w:t>
            </w:r>
          </w:p>
        </w:tc>
        <w:tc>
          <w:tcPr>
            <w:tcW w:w="2551" w:type="dxa"/>
          </w:tcPr>
          <w:p w14:paraId="5AFC3380" w14:textId="77777777" w:rsidR="00AE654E" w:rsidRPr="008441F8" w:rsidRDefault="00AE654E" w:rsidP="000165F5">
            <w:pPr>
              <w:keepNext/>
              <w:jc w:val="both"/>
              <w:rPr>
                <w:sz w:val="18"/>
                <w:lang w:val="en-US"/>
              </w:rPr>
            </w:pPr>
            <w:r w:rsidRPr="008441F8">
              <w:rPr>
                <w:sz w:val="18"/>
                <w:lang w:val="en-US"/>
              </w:rPr>
              <w:fldChar w:fldCharType="begin" w:fldLock="1"/>
            </w:r>
            <w:r w:rsidRPr="008441F8">
              <w:rPr>
                <w:sz w:val="18"/>
                <w:lang w:val="en-US"/>
              </w:rPr>
              <w:instrText>ADDIN CSL_CITATION {"citationItems":[{"id":"ITEM-1","itemData":{"DOI":"10.1111/j.1462-2920.2011.02538.x","ISSN":"14622912","abstract":"The genome of the soil bacterium Pseudomonas putida strain KT2440 has been erased of various determinants of resistance to antibiotics encoded in its extant chromosome. To this end, we employed a coherent genetic platform that allowed the precise deletion of multiple genomic segments in a large variety of Gram-negative bacteria including (but not limited to) P. putida. The method is based on the obligatory recombination between free-ended homologous DNA sequences that are released as linear fragments generated upon the cleavage of the chromosome with unique I-SceI sites, added to the segment of interest by the vector system. Despite the potential for a SOS response brought about by the appearance of double stranded DNA breaks during the process, fluctuation experiments revealed that the procedure did not increase mutation rates - perhaps due to the protection exerted by I-SceI bound to the otherwise naked DNA termini. With this tool in hand we made sequential deletions of genes mexC, mexE, ttgA and ampC in the genome of the target bacterium, orthologues of which are known to determine various degrees of antibiotic resistance in diverse microorganisms. Inspection of the corresponding phenotypes demonstrated that the efflux pump encoded by ttgA sufficed to endow P. putida with a high-level of tolerance to β-lactams, chloramphenicol and quinolones, but had little effect on, e.g. aminoglycosides. Analysis of the mutants revealed also a considerable diversity in the manifestation of the resistance phenotype within the population and suggested a degree of synergism between different pumps. The directed edition of the P. putida chromosome shown here not only enhances the amenability of this bacterium to deep genomic engineering, but also validates the corresponding approach for similar handlings of a large variety of Gram-negative microorganisms. © 2011 Society for Applied Microbiology and Blackwell Publishing Ltd.","author":[{"dropping-particle":"","family":"Martínez-García","given":"Esteban","non-dropping-particle":"","parse-names":false,"suffix":""},{"dropping-particle":"","family":"Lorenzo","given":"Víctor","non-dropping-particle":"de","parse-names":false,"suffix":""}],"container-title":"Environmental Microbiology","id":"ITEM-1","issue":"10","issued":{"date-parts":[["2011"]]},"page":"2702-2716","title":"Engineering multiple genomic deletions in Gram-negative bacteria: Analysis of the multi-resistant antibiotic profile of &lt;i&gt;Pseudomonas putida&lt;/i&gt; KT2440","type":"article","volume":"13"},"uris":["http://www.mendeley.com/documents/?uuid=f01a83b5-3f7d-4c96-ab42-499b98b416eb"]}],"mendeley":{"formattedCitation":"(Martínez-García &amp; de Lorenzo, 2011)","manualFormatting":"Martínez-García &amp; de Lorenzo (2011)","plainTextFormattedCitation":"(Martínez-García &amp; de Lorenzo, 2011)","previouslyFormattedCitation":"(Martínez-García &amp; de Lorenzo, 2011)"},"properties":{"noteIndex":0},"schema":"https://github.com/citation-style-language/schema/raw/master/csl-citation.json"}</w:instrText>
            </w:r>
            <w:r w:rsidRPr="008441F8">
              <w:rPr>
                <w:sz w:val="18"/>
                <w:lang w:val="en-US"/>
              </w:rPr>
              <w:fldChar w:fldCharType="separate"/>
            </w:r>
            <w:r w:rsidRPr="008441F8">
              <w:rPr>
                <w:noProof/>
                <w:sz w:val="18"/>
                <w:lang w:val="en-US"/>
              </w:rPr>
              <w:t>Martínez-García &amp; de Lorenzo (2011)</w:t>
            </w:r>
            <w:r w:rsidRPr="008441F8">
              <w:rPr>
                <w:sz w:val="18"/>
                <w:lang w:val="en-US"/>
              </w:rPr>
              <w:fldChar w:fldCharType="end"/>
            </w:r>
          </w:p>
        </w:tc>
      </w:tr>
      <w:tr w:rsidR="00AE654E" w:rsidRPr="00B84A00" w14:paraId="508B394F" w14:textId="77777777" w:rsidTr="005B7F65">
        <w:tc>
          <w:tcPr>
            <w:tcW w:w="5524" w:type="dxa"/>
          </w:tcPr>
          <w:p w14:paraId="65ABED5F"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BL21 (DE3)</w:t>
            </w:r>
          </w:p>
        </w:tc>
        <w:tc>
          <w:tcPr>
            <w:tcW w:w="6095" w:type="dxa"/>
          </w:tcPr>
          <w:p w14:paraId="0FBE386C" w14:textId="77777777" w:rsidR="00AE654E" w:rsidRPr="008441F8" w:rsidRDefault="00AE654E" w:rsidP="000165F5">
            <w:pPr>
              <w:rPr>
                <w:rFonts w:cs="Times New Roman"/>
                <w:color w:val="000000" w:themeColor="text1"/>
                <w:sz w:val="18"/>
                <w:szCs w:val="18"/>
                <w:lang w:val="en-US"/>
              </w:rPr>
            </w:pPr>
            <w:r w:rsidRPr="008441F8">
              <w:rPr>
                <w:sz w:val="18"/>
                <w:lang w:val="en-US"/>
              </w:rPr>
              <w:t xml:space="preserve">F– </w:t>
            </w:r>
            <w:r w:rsidRPr="008441F8">
              <w:rPr>
                <w:i/>
                <w:iCs/>
                <w:sz w:val="18"/>
                <w:lang w:val="en-US"/>
              </w:rPr>
              <w:t>omp</w:t>
            </w:r>
            <w:r w:rsidRPr="008441F8">
              <w:rPr>
                <w:sz w:val="18"/>
                <w:lang w:val="en-US"/>
              </w:rPr>
              <w:t xml:space="preserve">T </w:t>
            </w:r>
            <w:r w:rsidRPr="008441F8">
              <w:rPr>
                <w:i/>
                <w:iCs/>
                <w:sz w:val="18"/>
                <w:lang w:val="en-US"/>
              </w:rPr>
              <w:t>hsdS</w:t>
            </w:r>
            <w:r w:rsidRPr="008441F8">
              <w:rPr>
                <w:i/>
                <w:iCs/>
                <w:sz w:val="18"/>
                <w:vertAlign w:val="subscript"/>
                <w:lang w:val="en-US"/>
              </w:rPr>
              <w:t>B</w:t>
            </w:r>
            <w:r w:rsidRPr="008441F8">
              <w:rPr>
                <w:sz w:val="18"/>
                <w:lang w:val="en-US"/>
              </w:rPr>
              <w:t xml:space="preserve"> (r</w:t>
            </w:r>
            <w:r w:rsidRPr="008441F8">
              <w:rPr>
                <w:sz w:val="18"/>
                <w:vertAlign w:val="subscript"/>
                <w:lang w:val="en-US"/>
              </w:rPr>
              <w:t>B</w:t>
            </w:r>
            <w:r w:rsidRPr="008441F8">
              <w:rPr>
                <w:sz w:val="18"/>
                <w:lang w:val="en-US"/>
              </w:rPr>
              <w:t>–, m</w:t>
            </w:r>
            <w:r w:rsidRPr="008441F8">
              <w:rPr>
                <w:sz w:val="18"/>
                <w:vertAlign w:val="subscript"/>
                <w:lang w:val="en-US"/>
              </w:rPr>
              <w:t>B</w:t>
            </w:r>
            <w:r w:rsidRPr="008441F8">
              <w:rPr>
                <w:sz w:val="18"/>
                <w:lang w:val="en-US"/>
              </w:rPr>
              <w:t xml:space="preserve">–) </w:t>
            </w:r>
            <w:r w:rsidRPr="008441F8">
              <w:rPr>
                <w:i/>
                <w:iCs/>
                <w:sz w:val="18"/>
                <w:lang w:val="en-US"/>
              </w:rPr>
              <w:t>gal dcm</w:t>
            </w:r>
            <w:r w:rsidRPr="008441F8">
              <w:rPr>
                <w:sz w:val="18"/>
                <w:lang w:val="en-US"/>
              </w:rPr>
              <w:t xml:space="preserve"> (DE3)</w:t>
            </w:r>
          </w:p>
        </w:tc>
        <w:tc>
          <w:tcPr>
            <w:tcW w:w="2551" w:type="dxa"/>
          </w:tcPr>
          <w:p w14:paraId="0F8731B9" w14:textId="77777777" w:rsidR="00AE654E" w:rsidRPr="008441F8" w:rsidRDefault="00AE654E" w:rsidP="000165F5">
            <w:pPr>
              <w:keepNext/>
              <w:jc w:val="both"/>
              <w:rPr>
                <w:sz w:val="18"/>
                <w:lang w:val="en-US"/>
              </w:rPr>
            </w:pPr>
            <w:r w:rsidRPr="008441F8">
              <w:rPr>
                <w:sz w:val="18"/>
                <w:lang w:val="en-US"/>
              </w:rPr>
              <w:t>Thermo Fischer Scientific</w:t>
            </w:r>
          </w:p>
        </w:tc>
      </w:tr>
      <w:tr w:rsidR="00AE654E" w:rsidRPr="00B84A00" w14:paraId="3A6F9AB9" w14:textId="77777777" w:rsidTr="005B7F65">
        <w:tc>
          <w:tcPr>
            <w:tcW w:w="5524" w:type="dxa"/>
          </w:tcPr>
          <w:p w14:paraId="082260E5" w14:textId="77777777" w:rsidR="00AE654E" w:rsidRPr="008441F8" w:rsidRDefault="00AE654E" w:rsidP="000165F5">
            <w:pPr>
              <w:rPr>
                <w:rFonts w:cs="Times New Roman"/>
                <w:color w:val="000000" w:themeColor="text1"/>
                <w:sz w:val="18"/>
                <w:szCs w:val="18"/>
                <w:lang w:val="en-US"/>
              </w:rPr>
            </w:pPr>
            <w:r w:rsidRPr="008441F8">
              <w:rPr>
                <w:b/>
                <w:i/>
                <w:sz w:val="18"/>
                <w:lang w:val="en-US"/>
              </w:rPr>
              <w:t>Pseudomonas taiwanensis</w:t>
            </w:r>
          </w:p>
        </w:tc>
        <w:tc>
          <w:tcPr>
            <w:tcW w:w="6095" w:type="dxa"/>
          </w:tcPr>
          <w:p w14:paraId="29EBF8D3" w14:textId="77777777" w:rsidR="00AE654E" w:rsidRPr="008441F8" w:rsidRDefault="00AE654E" w:rsidP="000165F5">
            <w:pPr>
              <w:rPr>
                <w:rFonts w:cs="Times New Roman"/>
                <w:color w:val="000000" w:themeColor="text1"/>
                <w:sz w:val="18"/>
                <w:szCs w:val="18"/>
                <w:lang w:val="en-US"/>
              </w:rPr>
            </w:pPr>
          </w:p>
        </w:tc>
        <w:tc>
          <w:tcPr>
            <w:tcW w:w="2551" w:type="dxa"/>
          </w:tcPr>
          <w:p w14:paraId="5CB58301" w14:textId="77777777" w:rsidR="00AE654E" w:rsidRPr="008441F8" w:rsidRDefault="00AE654E" w:rsidP="000165F5">
            <w:pPr>
              <w:keepNext/>
              <w:jc w:val="both"/>
              <w:rPr>
                <w:sz w:val="18"/>
                <w:lang w:val="en-US"/>
              </w:rPr>
            </w:pPr>
          </w:p>
        </w:tc>
      </w:tr>
      <w:tr w:rsidR="00AE654E" w:rsidRPr="00B84A00" w14:paraId="534C367E" w14:textId="77777777" w:rsidTr="005B7F65">
        <w:tc>
          <w:tcPr>
            <w:tcW w:w="5524" w:type="dxa"/>
          </w:tcPr>
          <w:p w14:paraId="668F917B"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VLB120</w:t>
            </w:r>
          </w:p>
        </w:tc>
        <w:tc>
          <w:tcPr>
            <w:tcW w:w="6095" w:type="dxa"/>
          </w:tcPr>
          <w:p w14:paraId="2CCD1991"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Wild-type</w:t>
            </w:r>
          </w:p>
        </w:tc>
        <w:tc>
          <w:tcPr>
            <w:tcW w:w="2551" w:type="dxa"/>
          </w:tcPr>
          <w:p w14:paraId="535A8925" w14:textId="77777777" w:rsidR="00AE654E" w:rsidRPr="008441F8" w:rsidRDefault="00AE654E" w:rsidP="000165F5">
            <w:pPr>
              <w:keepNext/>
              <w:jc w:val="both"/>
              <w:rPr>
                <w:sz w:val="18"/>
                <w:lang w:val="en-US"/>
              </w:rPr>
            </w:pPr>
            <w:r w:rsidRPr="008441F8">
              <w:rPr>
                <w:sz w:val="18"/>
                <w:lang w:val="en-US"/>
              </w:rPr>
              <w:fldChar w:fldCharType="begin" w:fldLock="1"/>
            </w:r>
            <w:r w:rsidRPr="008441F8">
              <w:rPr>
                <w:sz w:val="18"/>
                <w:lang w:val="en-US"/>
              </w:rPr>
              <w:instrText>ADDIN CSL_CITATION {"citationItems":[{"id":"ITEM-1","itemData":{"DOI":"https://doi.org/10.1128/AEM.64.6.2032-2043.1998","author":[{"dropping-particle":"","family":"Panke","given":"Sven","non-dropping-particle":"","parse-names":false,"suffix":""},{"dropping-particle":"","family":"Witholt","given":"Bernard","non-dropping-particle":"","parse-names":false,"suffix":""},{"dropping-particle":"","family":"Schmid","given":"Andreas","non-dropping-particle":"","parse-names":false,"suffix":""}],"container-title":"Applied and Environmental Microbiology","id":"ITEM-1","issue":"6","issued":{"date-parts":[["1998"]]},"page":"2032-2043","title":"Towards a Biocatalyst for (S)-Styrene Oxide Production: Characterization of the Styrene Degradation Pathway of &lt;i&gt;Pseudomonas&lt;/i&gt; sp. Strain VLB120","type":"article-journal","volume":"64"},"uris":["http://www.mendeley.com/documents/?uuid=ab5f8e13-c19e-48b2-9318-e84638791d4b"]}],"mendeley":{"formattedCitation":"(Panke et al., 1998)","manualFormatting":"Panke et al. (1998)","plainTextFormattedCitation":"(Panke et al., 1998)","previouslyFormattedCitation":"(Panke et al., 1998)"},"properties":{"noteIndex":0},"schema":"https://github.com/citation-style-language/schema/raw/master/csl-citation.json"}</w:instrText>
            </w:r>
            <w:r w:rsidRPr="008441F8">
              <w:rPr>
                <w:sz w:val="18"/>
                <w:lang w:val="en-US"/>
              </w:rPr>
              <w:fldChar w:fldCharType="separate"/>
            </w:r>
            <w:r w:rsidRPr="008441F8">
              <w:rPr>
                <w:noProof/>
                <w:sz w:val="18"/>
                <w:lang w:val="en-US"/>
              </w:rPr>
              <w:t>Panke et al. (1998)</w:t>
            </w:r>
            <w:r w:rsidRPr="008441F8">
              <w:rPr>
                <w:sz w:val="18"/>
                <w:lang w:val="en-US"/>
              </w:rPr>
              <w:fldChar w:fldCharType="end"/>
            </w:r>
            <w:r w:rsidRPr="008441F8">
              <w:rPr>
                <w:sz w:val="18"/>
                <w:lang w:val="en-US"/>
              </w:rPr>
              <w:t>; MiKat#1</w:t>
            </w:r>
          </w:p>
        </w:tc>
      </w:tr>
      <w:tr w:rsidR="00AE654E" w:rsidRPr="008441F8" w14:paraId="2BEEECA0" w14:textId="77777777" w:rsidTr="005B7F65">
        <w:tc>
          <w:tcPr>
            <w:tcW w:w="5524" w:type="dxa"/>
          </w:tcPr>
          <w:p w14:paraId="2DD368C0"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GRC1</w:t>
            </w:r>
          </w:p>
        </w:tc>
        <w:tc>
          <w:tcPr>
            <w:tcW w:w="6095" w:type="dxa"/>
          </w:tcPr>
          <w:p w14:paraId="22665396"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Genome-reduced-chassis strain (deleted megaplasmid</w:t>
            </w:r>
            <w:r>
              <w:rPr>
                <w:rFonts w:cs="Times New Roman"/>
                <w:color w:val="000000" w:themeColor="text1"/>
                <w:sz w:val="18"/>
                <w:szCs w:val="18"/>
                <w:lang w:val="en-US"/>
              </w:rPr>
              <w:t xml:space="preserve"> pSTY</w:t>
            </w:r>
            <w:r w:rsidRPr="008441F8">
              <w:rPr>
                <w:rFonts w:cs="Times New Roman"/>
                <w:color w:val="000000" w:themeColor="text1"/>
                <w:sz w:val="18"/>
                <w:szCs w:val="18"/>
                <w:lang w:val="en-US"/>
              </w:rPr>
              <w:t>, four prophages, flagella apparatus and major biofilm-formation)</w:t>
            </w:r>
          </w:p>
        </w:tc>
        <w:tc>
          <w:tcPr>
            <w:tcW w:w="2551" w:type="dxa"/>
          </w:tcPr>
          <w:p w14:paraId="4AA1600F" w14:textId="77777777" w:rsidR="00AE654E" w:rsidRPr="008441F8" w:rsidRDefault="00AE654E" w:rsidP="000165F5">
            <w:pPr>
              <w:keepNext/>
              <w:jc w:val="both"/>
              <w:rPr>
                <w:sz w:val="18"/>
                <w:lang w:val="en-US"/>
              </w:rPr>
            </w:pPr>
            <w:r w:rsidRPr="008441F8">
              <w:rPr>
                <w:sz w:val="18"/>
                <w:lang w:val="en-US"/>
              </w:rPr>
              <w:fldChar w:fldCharType="begin" w:fldLock="1"/>
            </w:r>
            <w:r w:rsidRPr="008441F8">
              <w:rPr>
                <w:sz w:val="18"/>
                <w:lang w:val="en-US"/>
              </w:rPr>
              <w:instrText>ADDIN CSL_CITATION {"citationItems":[{"id":"ITEM-1","itemData":{"DOI":"10.1021/acssynbio.9b00108","ISSN":"2161-5063","abstract":"Microbes harbor many traits that are dispensable or even unfavorable under industrial and laboratory settings. The elimination of such traits could improve the host's efficiency, genetic stability, and robustness, thereby increasing the predictability and boosting its performance as a microbial cell factory. We engineered solvent-tolerant Pseudomonas taiwanensis VLB120 to yield streamlined chassis strains with higher growth rates and biomass yields, enhanced solvent tolerance, and improved process performance. In total, the genome was reduced by up to 10%. This was achieved by the elimination of genes that enable the cell to swim and form biofilms and by the deletion of the megaplasmid pSTY and large proviral segments. The resulting strain GRC1 had a 15% higher growth rate and biomass yield than the wildtype. However, this strain lacks the pSTY-encoded efflux pump TtgGHI, rendering it solvent-sensitive. Through reintegration of ttgGHI by chromosomal insertion without (GRC2) and with (GRC3) the corresponding regulator genes, the solvent-tolerant phenotype was enhanced. The generated P. taiwanensis GRC strains enlarge the repertoire of streamlined chassis with enhanced key performance indicators, making them attractive hosts for biotechnological applications. The different solvent tolerance levels of GRC1, GRC2, and GRC3 enable the selection of a fitting host platform in relation to the desired process requirements in a chassis à la carte principle. This was demonstrated in a metabolic engineering approach for the production of phenol from glycerol. The streamlined producer GRC1Δ5-TPL38 outperformed the equivalent nonstreamlined producer VLB120Δ5-TPL38 concerning phenol titer, rate, and yield, thereby highlighting the added value of the streamlined chassis.","author":[{"dropping-particle":"","family":"Wynands","given":"Benedikt","non-dropping-particle":"","parse-names":false,"suffix":""},{"dropping-particle":"","family":"Otto","given":"Maike","non-dropping-particle":"","parse-names":false,"suffix":""},{"dropping-particle":"","family":"Runge","given":"Nadine","non-dropping-particle":"","parse-names":false,"suffix":""},{"dropping-particle":"","family":"Preckel","given":"Sarah","non-dropping-particle":"","parse-names":false,"suffix":""},{"dropping-particle":"","family":"Polen","given":"Tino","non-dropping-particle":"","parse-names":false,"suffix":""},{"dropping-particle":"","family":"Blank","given":"Lars M.","non-dropping-particle":"","parse-names":false,"suffix":""},{"dropping-particle":"","family":"Wierckx","given":"Nick","non-dropping-particle":"","parse-names":false,"suffix":""}],"container-title":"ACS Synthetic Biology","genre":"research-article","id":"ITEM-1","issue":"9","issued":{"date-parts":[["2019","9","20"]]},"page":"2036-2050","publisher":"American Chemical Society","title":"Streamlined &lt;i&gt;Pseudomonas taiwanensis&lt;/i&gt; VLB120 Chassis Strains with Improved Bioprocess Features","type":"article-journal","volume":"8"},"uris":["http://www.mendeley.com/documents/?uuid=ae705106-25ad-47ac-9984-12eea027aaf6"]}],"mendeley":{"formattedCitation":"(Wynands et al., 2019)","manualFormatting":"Wynands et al. (2019)","plainTextFormattedCitation":"(Wynands et al., 2019)","previouslyFormattedCitation":"(Wynands et al., 2019)"},"properties":{"noteIndex":0},"schema":"https://github.com/citation-style-language/schema/raw/master/csl-citation.json"}</w:instrText>
            </w:r>
            <w:r w:rsidRPr="008441F8">
              <w:rPr>
                <w:sz w:val="18"/>
                <w:lang w:val="en-US"/>
              </w:rPr>
              <w:fldChar w:fldCharType="separate"/>
            </w:r>
            <w:r w:rsidRPr="008441F8">
              <w:rPr>
                <w:noProof/>
                <w:sz w:val="18"/>
                <w:lang w:val="en-US"/>
              </w:rPr>
              <w:t>Wynands et al. (2019)</w:t>
            </w:r>
            <w:r w:rsidRPr="008441F8">
              <w:rPr>
                <w:sz w:val="18"/>
                <w:lang w:val="en-US"/>
              </w:rPr>
              <w:fldChar w:fldCharType="end"/>
            </w:r>
            <w:r w:rsidRPr="008441F8">
              <w:rPr>
                <w:sz w:val="18"/>
                <w:lang w:val="en-US"/>
              </w:rPr>
              <w:t>; MiKat#3</w:t>
            </w:r>
          </w:p>
        </w:tc>
      </w:tr>
      <w:tr w:rsidR="00AE654E" w:rsidRPr="008441F8" w14:paraId="02CC6CC1" w14:textId="77777777" w:rsidTr="005B7F65">
        <w:tc>
          <w:tcPr>
            <w:tcW w:w="5524" w:type="dxa"/>
          </w:tcPr>
          <w:p w14:paraId="07F8936A"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GRC2</w:t>
            </w:r>
          </w:p>
        </w:tc>
        <w:tc>
          <w:tcPr>
            <w:tcW w:w="6095" w:type="dxa"/>
          </w:tcPr>
          <w:p w14:paraId="663C0274"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Genome-reduced-chassis strain; Δprophage1/2::</w:t>
            </w:r>
            <w:r w:rsidRPr="008441F8">
              <w:rPr>
                <w:rFonts w:cs="Times New Roman"/>
                <w:i/>
                <w:color w:val="000000" w:themeColor="text1"/>
                <w:sz w:val="18"/>
                <w:szCs w:val="18"/>
                <w:lang w:val="en-US"/>
              </w:rPr>
              <w:t>ttgGHI</w:t>
            </w:r>
          </w:p>
        </w:tc>
        <w:tc>
          <w:tcPr>
            <w:tcW w:w="2551" w:type="dxa"/>
          </w:tcPr>
          <w:p w14:paraId="2736F7C8" w14:textId="77777777" w:rsidR="00AE654E" w:rsidRPr="008441F8" w:rsidRDefault="00AE654E" w:rsidP="000165F5">
            <w:pPr>
              <w:keepNext/>
              <w:jc w:val="both"/>
              <w:rPr>
                <w:sz w:val="18"/>
                <w:lang w:val="en-US"/>
              </w:rPr>
            </w:pPr>
            <w:r w:rsidRPr="008441F8">
              <w:rPr>
                <w:sz w:val="18"/>
                <w:lang w:val="en-US"/>
              </w:rPr>
              <w:fldChar w:fldCharType="begin" w:fldLock="1"/>
            </w:r>
            <w:r w:rsidRPr="008441F8">
              <w:rPr>
                <w:sz w:val="18"/>
                <w:lang w:val="en-US"/>
              </w:rPr>
              <w:instrText>ADDIN CSL_CITATION {"citationItems":[{"id":"ITEM-1","itemData":{"DOI":"10.1021/acssynbio.9b00108","ISSN":"2161-5063","abstract":"Microbes harbor many traits that are dispensable or even unfavorable under industrial and laboratory settings. The elimination of such traits could improve the host's efficiency, genetic stability, and robustness, thereby increasing the predictability and boosting its performance as a microbial cell factory. We engineered solvent-tolerant Pseudomonas taiwanensis VLB120 to yield streamlined chassis strains with higher growth rates and biomass yields, enhanced solvent tolerance, and improved process performance. In total, the genome was reduced by up to 10%. This was achieved by the elimination of genes that enable the cell to swim and form biofilms and by the deletion of the megaplasmid pSTY and large proviral segments. The resulting strain GRC1 had a 15% higher growth rate and biomass yield than the wildtype. However, this strain lacks the pSTY-encoded efflux pump TtgGHI, rendering it solvent-sensitive. Through reintegration of ttgGHI by chromosomal insertion without (GRC2) and with (GRC3) the corresponding regulator genes, the solvent-tolerant phenotype was enhanced. The generated P. taiwanensis GRC strains enlarge the repertoire of streamlined chassis with enhanced key performance indicators, making them attractive hosts for biotechnological applications. The different solvent tolerance levels of GRC1, GRC2, and GRC3 enable the selection of a fitting host platform in relation to the desired process requirements in a chassis à la carte principle. This was demonstrated in a metabolic engineering approach for the production of phenol from glycerol. The streamlined producer GRC1Δ5-TPL38 outperformed the equivalent nonstreamlined producer VLB120Δ5-TPL38 concerning phenol titer, rate, and yield, thereby highlighting the added value of the streamlined chassis.","author":[{"dropping-particle":"","family":"Wynands","given":"Benedikt","non-dropping-particle":"","parse-names":false,"suffix":""},{"dropping-particle":"","family":"Otto","given":"Maike","non-dropping-particle":"","parse-names":false,"suffix":""},{"dropping-particle":"","family":"Runge","given":"Nadine","non-dropping-particle":"","parse-names":false,"suffix":""},{"dropping-particle":"","family":"Preckel","given":"Sarah","non-dropping-particle":"","parse-names":false,"suffix":""},{"dropping-particle":"","family":"Polen","given":"Tino","non-dropping-particle":"","parse-names":false,"suffix":""},{"dropping-particle":"","family":"Blank","given":"Lars M.","non-dropping-particle":"","parse-names":false,"suffix":""},{"dropping-particle":"","family":"Wierckx","given":"Nick","non-dropping-particle":"","parse-names":false,"suffix":""}],"container-title":"ACS Synthetic Biology","genre":"research-article","id":"ITEM-1","issue":"9","issued":{"date-parts":[["2019","9","20"]]},"page":"2036-2050","publisher":"American Chemical Society","title":"Streamlined &lt;i&gt;Pseudomonas taiwanensis&lt;/i&gt; VLB120 Chassis Strains with Improved Bioprocess Features","type":"article-journal","volume":"8"},"uris":["http://www.mendeley.com/documents/?uuid=ae705106-25ad-47ac-9984-12eea027aaf6"]}],"mendeley":{"formattedCitation":"(Wynands et al., 2019)","manualFormatting":"Wynands et al. (2019)","plainTextFormattedCitation":"(Wynands et al., 2019)","previouslyFormattedCitation":"(Wynands et al., 2019)"},"properties":{"noteIndex":0},"schema":"https://github.com/citation-style-language/schema/raw/master/csl-citation.json"}</w:instrText>
            </w:r>
            <w:r w:rsidRPr="008441F8">
              <w:rPr>
                <w:sz w:val="18"/>
                <w:lang w:val="en-US"/>
              </w:rPr>
              <w:fldChar w:fldCharType="separate"/>
            </w:r>
            <w:r w:rsidRPr="008441F8">
              <w:rPr>
                <w:noProof/>
                <w:sz w:val="18"/>
                <w:lang w:val="en-US"/>
              </w:rPr>
              <w:t>Wynands et al. (2019)</w:t>
            </w:r>
            <w:r w:rsidRPr="008441F8">
              <w:rPr>
                <w:sz w:val="18"/>
                <w:lang w:val="en-US"/>
              </w:rPr>
              <w:fldChar w:fldCharType="end"/>
            </w:r>
            <w:r w:rsidRPr="008441F8">
              <w:rPr>
                <w:sz w:val="18"/>
                <w:lang w:val="en-US"/>
              </w:rPr>
              <w:t>; MiKat#4</w:t>
            </w:r>
          </w:p>
        </w:tc>
      </w:tr>
      <w:tr w:rsidR="00AE654E" w:rsidRPr="008441F8" w14:paraId="4087A04C" w14:textId="77777777" w:rsidTr="005B7F65">
        <w:tc>
          <w:tcPr>
            <w:tcW w:w="5524" w:type="dxa"/>
          </w:tcPr>
          <w:p w14:paraId="7774EB52"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GRC3</w:t>
            </w:r>
          </w:p>
        </w:tc>
        <w:tc>
          <w:tcPr>
            <w:tcW w:w="6095" w:type="dxa"/>
          </w:tcPr>
          <w:p w14:paraId="5B74A65F"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Genome-reduced-chassis strain; Δprophage1/2::</w:t>
            </w:r>
            <w:r w:rsidRPr="008441F8">
              <w:rPr>
                <w:rFonts w:cs="Times New Roman"/>
                <w:i/>
                <w:color w:val="000000" w:themeColor="text1"/>
                <w:sz w:val="18"/>
                <w:szCs w:val="18"/>
                <w:lang w:val="en-US"/>
              </w:rPr>
              <w:t>ttgVWGHI</w:t>
            </w:r>
          </w:p>
        </w:tc>
        <w:tc>
          <w:tcPr>
            <w:tcW w:w="2551" w:type="dxa"/>
          </w:tcPr>
          <w:p w14:paraId="251F658D" w14:textId="77777777" w:rsidR="00AE654E" w:rsidRPr="008441F8" w:rsidRDefault="00AE654E" w:rsidP="000165F5">
            <w:pPr>
              <w:keepNext/>
              <w:jc w:val="both"/>
              <w:rPr>
                <w:sz w:val="18"/>
                <w:lang w:val="en-US"/>
              </w:rPr>
            </w:pPr>
            <w:r w:rsidRPr="008441F8">
              <w:rPr>
                <w:sz w:val="18"/>
                <w:lang w:val="en-US"/>
              </w:rPr>
              <w:fldChar w:fldCharType="begin" w:fldLock="1"/>
            </w:r>
            <w:r w:rsidRPr="008441F8">
              <w:rPr>
                <w:sz w:val="18"/>
                <w:lang w:val="en-US"/>
              </w:rPr>
              <w:instrText>ADDIN CSL_CITATION {"citationItems":[{"id":"ITEM-1","itemData":{"DOI":"10.1021/acssynbio.9b00108","ISSN":"2161-5063","abstract":"Microbes harbor many traits that are dispensable or even unfavorable under industrial and laboratory settings. The elimination of such traits could improve the host's efficiency, genetic stability, and robustness, thereby increasing the predictability and boosting its performance as a microbial cell factory. We engineered solvent-tolerant Pseudomonas taiwanensis VLB120 to yield streamlined chassis strains with higher growth rates and biomass yields, enhanced solvent tolerance, and improved process performance. In total, the genome was reduced by up to 10%. This was achieved by the elimination of genes that enable the cell to swim and form biofilms and by the deletion of the megaplasmid pSTY and large proviral segments. The resulting strain GRC1 had a 15% higher growth rate and biomass yield than the wildtype. However, this strain lacks the pSTY-encoded efflux pump TtgGHI, rendering it solvent-sensitive. Through reintegration of ttgGHI by chromosomal insertion without (GRC2) and with (GRC3) the corresponding regulator genes, the solvent-tolerant phenotype was enhanced. The generated P. taiwanensis GRC strains enlarge the repertoire of streamlined chassis with enhanced key performance indicators, making them attractive hosts for biotechnological applications. The different solvent tolerance levels of GRC1, GRC2, and GRC3 enable the selection of a fitting host platform in relation to the desired process requirements in a chassis à la carte principle. This was demonstrated in a metabolic engineering approach for the production of phenol from glycerol. The streamlined producer GRC1Δ5-TPL38 outperformed the equivalent nonstreamlined producer VLB120Δ5-TPL38 concerning phenol titer, rate, and yield, thereby highlighting the added value of the streamlined chassis.","author":[{"dropping-particle":"","family":"Wynands","given":"Benedikt","non-dropping-particle":"","parse-names":false,"suffix":""},{"dropping-particle":"","family":"Otto","given":"Maike","non-dropping-particle":"","parse-names":false,"suffix":""},{"dropping-particle":"","family":"Runge","given":"Nadine","non-dropping-particle":"","parse-names":false,"suffix":""},{"dropping-particle":"","family":"Preckel","given":"Sarah","non-dropping-particle":"","parse-names":false,"suffix":""},{"dropping-particle":"","family":"Polen","given":"Tino","non-dropping-particle":"","parse-names":false,"suffix":""},{"dropping-particle":"","family":"Blank","given":"Lars M.","non-dropping-particle":"","parse-names":false,"suffix":""},{"dropping-particle":"","family":"Wierckx","given":"Nick","non-dropping-particle":"","parse-names":false,"suffix":""}],"container-title":"ACS Synthetic Biology","genre":"research-article","id":"ITEM-1","issue":"9","issued":{"date-parts":[["2019","9","20"]]},"page":"2036-2050","publisher":"American Chemical Society","title":"Streamlined &lt;i&gt;Pseudomonas taiwanensis&lt;/i&gt; VLB120 Chassis Strains with Improved Bioprocess Features","type":"article-journal","volume":"8"},"uris":["http://www.mendeley.com/documents/?uuid=ae705106-25ad-47ac-9984-12eea027aaf6"]}],"mendeley":{"formattedCitation":"(Wynands et al., 2019)","manualFormatting":"Wynands et al. (2019)","plainTextFormattedCitation":"(Wynands et al., 2019)","previouslyFormattedCitation":"(Wynands et al., 2019)"},"properties":{"noteIndex":0},"schema":"https://github.com/citation-style-language/schema/raw/master/csl-citation.json"}</w:instrText>
            </w:r>
            <w:r w:rsidRPr="008441F8">
              <w:rPr>
                <w:sz w:val="18"/>
                <w:lang w:val="en-US"/>
              </w:rPr>
              <w:fldChar w:fldCharType="separate"/>
            </w:r>
            <w:r w:rsidRPr="008441F8">
              <w:rPr>
                <w:noProof/>
                <w:sz w:val="18"/>
                <w:lang w:val="en-US"/>
              </w:rPr>
              <w:t>Wynands et al. (2019)</w:t>
            </w:r>
            <w:r w:rsidRPr="008441F8">
              <w:rPr>
                <w:sz w:val="18"/>
                <w:lang w:val="en-US"/>
              </w:rPr>
              <w:fldChar w:fldCharType="end"/>
            </w:r>
            <w:r w:rsidRPr="008441F8">
              <w:rPr>
                <w:sz w:val="18"/>
                <w:lang w:val="en-US"/>
              </w:rPr>
              <w:t>; MiKat#5</w:t>
            </w:r>
          </w:p>
        </w:tc>
      </w:tr>
      <w:tr w:rsidR="00AE654E" w:rsidRPr="008441F8" w14:paraId="5EAE22D4" w14:textId="77777777" w:rsidTr="005B7F65">
        <w:tc>
          <w:tcPr>
            <w:tcW w:w="5524" w:type="dxa"/>
          </w:tcPr>
          <w:p w14:paraId="2E1D67CA"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Δ</w:t>
            </w:r>
            <w:r w:rsidRPr="008441F8">
              <w:rPr>
                <w:rFonts w:cs="Times New Roman"/>
                <w:color w:val="000000" w:themeColor="text1"/>
                <w:sz w:val="18"/>
                <w:szCs w:val="18"/>
                <w:lang w:val="en-US"/>
              </w:rPr>
              <w:t>8pykA-tap (=GRC3 PHE)</w:t>
            </w:r>
          </w:p>
        </w:tc>
        <w:tc>
          <w:tcPr>
            <w:tcW w:w="6095" w:type="dxa"/>
          </w:tcPr>
          <w:p w14:paraId="3923849A"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Phenylalanine platform strain; GRC3 </w:t>
            </w:r>
            <w:r w:rsidRPr="008441F8">
              <w:rPr>
                <w:rFonts w:cstheme="minorHAnsi"/>
                <w:color w:val="000000" w:themeColor="text1"/>
                <w:sz w:val="18"/>
                <w:szCs w:val="18"/>
                <w:lang w:val="en-US"/>
              </w:rPr>
              <w:t>Δ</w:t>
            </w:r>
            <w:r w:rsidRPr="008441F8">
              <w:rPr>
                <w:rFonts w:cs="Times New Roman"/>
                <w:i/>
                <w:color w:val="000000" w:themeColor="text1"/>
                <w:sz w:val="18"/>
                <w:szCs w:val="18"/>
                <w:lang w:val="en-US"/>
              </w:rPr>
              <w:t>pobA</w:t>
            </w:r>
            <w:r w:rsidRPr="008441F8">
              <w:rPr>
                <w:rFonts w:cs="Times New Roman"/>
                <w:color w:val="000000" w:themeColor="text1"/>
                <w:sz w:val="18"/>
                <w:szCs w:val="18"/>
                <w:lang w:val="en-US"/>
              </w:rPr>
              <w:t xml:space="preserve">, </w:t>
            </w:r>
            <w:r w:rsidRPr="008441F8">
              <w:rPr>
                <w:rFonts w:cstheme="minorHAnsi"/>
                <w:color w:val="000000" w:themeColor="text1"/>
                <w:sz w:val="18"/>
                <w:szCs w:val="18"/>
                <w:lang w:val="en-US"/>
              </w:rPr>
              <w:t>Δ</w:t>
            </w:r>
            <w:r w:rsidRPr="008441F8">
              <w:rPr>
                <w:rFonts w:cs="Times New Roman"/>
                <w:i/>
                <w:color w:val="000000" w:themeColor="text1"/>
                <w:sz w:val="18"/>
                <w:szCs w:val="18"/>
                <w:lang w:val="en-US"/>
              </w:rPr>
              <w:t>hpd</w:t>
            </w:r>
            <w:r w:rsidRPr="008441F8">
              <w:rPr>
                <w:rFonts w:cs="Times New Roman"/>
                <w:color w:val="000000" w:themeColor="text1"/>
                <w:sz w:val="18"/>
                <w:szCs w:val="18"/>
                <w:lang w:val="en-US"/>
              </w:rPr>
              <w:t xml:space="preserve">, </w:t>
            </w:r>
            <w:r w:rsidRPr="008441F8">
              <w:rPr>
                <w:rFonts w:cstheme="minorHAnsi"/>
                <w:color w:val="000000" w:themeColor="text1"/>
                <w:sz w:val="18"/>
                <w:szCs w:val="18"/>
                <w:lang w:val="en-US"/>
              </w:rPr>
              <w:t>Δ</w:t>
            </w:r>
            <w:r w:rsidRPr="008441F8">
              <w:rPr>
                <w:rFonts w:cs="Times New Roman"/>
                <w:i/>
                <w:color w:val="000000" w:themeColor="text1"/>
                <w:sz w:val="18"/>
                <w:szCs w:val="18"/>
                <w:lang w:val="en-US"/>
              </w:rPr>
              <w:t>quiC</w:t>
            </w:r>
            <w:r w:rsidRPr="008441F8">
              <w:rPr>
                <w:rFonts w:cs="Times New Roman"/>
                <w:color w:val="000000" w:themeColor="text1"/>
                <w:sz w:val="18"/>
                <w:szCs w:val="18"/>
                <w:lang w:val="en-US"/>
              </w:rPr>
              <w:t xml:space="preserve">, </w:t>
            </w:r>
            <w:r w:rsidRPr="008441F8">
              <w:rPr>
                <w:rFonts w:cstheme="minorHAnsi"/>
                <w:color w:val="000000" w:themeColor="text1"/>
                <w:sz w:val="18"/>
                <w:szCs w:val="18"/>
                <w:lang w:val="en-US"/>
              </w:rPr>
              <w:t>Δ</w:t>
            </w:r>
            <w:r w:rsidRPr="008441F8">
              <w:rPr>
                <w:rFonts w:cs="Times New Roman"/>
                <w:i/>
                <w:color w:val="000000" w:themeColor="text1"/>
                <w:sz w:val="18"/>
                <w:szCs w:val="18"/>
                <w:lang w:val="en-US"/>
              </w:rPr>
              <w:t>quiC1</w:t>
            </w:r>
            <w:r w:rsidRPr="008441F8">
              <w:rPr>
                <w:rFonts w:cs="Times New Roman"/>
                <w:color w:val="000000" w:themeColor="text1"/>
                <w:sz w:val="18"/>
                <w:szCs w:val="18"/>
                <w:lang w:val="en-US"/>
              </w:rPr>
              <w:t xml:space="preserve">, </w:t>
            </w:r>
            <w:r w:rsidRPr="008441F8">
              <w:rPr>
                <w:rFonts w:cstheme="minorHAnsi"/>
                <w:color w:val="000000" w:themeColor="text1"/>
                <w:sz w:val="18"/>
                <w:szCs w:val="18"/>
                <w:lang w:val="en-US"/>
              </w:rPr>
              <w:t>Δ</w:t>
            </w:r>
            <w:r w:rsidRPr="008441F8">
              <w:rPr>
                <w:rFonts w:cs="Times New Roman"/>
                <w:i/>
                <w:color w:val="000000" w:themeColor="text1"/>
                <w:sz w:val="18"/>
                <w:szCs w:val="18"/>
                <w:lang w:val="en-US"/>
              </w:rPr>
              <w:t>quiC2</w:t>
            </w:r>
            <w:r w:rsidRPr="008441F8">
              <w:rPr>
                <w:rFonts w:cs="Times New Roman"/>
                <w:color w:val="000000" w:themeColor="text1"/>
                <w:sz w:val="18"/>
                <w:szCs w:val="18"/>
                <w:lang w:val="en-US"/>
              </w:rPr>
              <w:t xml:space="preserve">, </w:t>
            </w:r>
            <w:r w:rsidRPr="008441F8">
              <w:rPr>
                <w:rFonts w:cstheme="minorHAnsi"/>
                <w:color w:val="000000" w:themeColor="text1"/>
                <w:sz w:val="18"/>
                <w:szCs w:val="18"/>
                <w:lang w:val="en-US"/>
              </w:rPr>
              <w:t>Δ</w:t>
            </w:r>
            <w:r w:rsidRPr="008441F8">
              <w:rPr>
                <w:rFonts w:cs="Times New Roman"/>
                <w:i/>
                <w:color w:val="000000" w:themeColor="text1"/>
                <w:sz w:val="18"/>
                <w:szCs w:val="18"/>
                <w:lang w:val="en-US"/>
              </w:rPr>
              <w:t>phhAB</w:t>
            </w:r>
            <w:r w:rsidRPr="008441F8">
              <w:rPr>
                <w:rFonts w:cs="Times New Roman"/>
                <w:color w:val="000000" w:themeColor="text1"/>
                <w:sz w:val="18"/>
                <w:szCs w:val="18"/>
                <w:lang w:val="en-US"/>
              </w:rPr>
              <w:t xml:space="preserve">, </w:t>
            </w:r>
            <w:r w:rsidRPr="008441F8">
              <w:rPr>
                <w:rFonts w:cstheme="minorHAnsi"/>
                <w:color w:val="000000" w:themeColor="text1"/>
                <w:sz w:val="18"/>
                <w:szCs w:val="18"/>
                <w:lang w:val="en-US"/>
              </w:rPr>
              <w:t>Δ</w:t>
            </w:r>
            <w:r w:rsidRPr="008441F8">
              <w:rPr>
                <w:rFonts w:cs="Times New Roman"/>
                <w:i/>
                <w:color w:val="000000" w:themeColor="text1"/>
                <w:sz w:val="18"/>
                <w:szCs w:val="18"/>
                <w:lang w:val="en-US"/>
              </w:rPr>
              <w:t>katG</w:t>
            </w:r>
            <w:r w:rsidRPr="008441F8">
              <w:rPr>
                <w:rFonts w:cs="Times New Roman"/>
                <w:color w:val="000000" w:themeColor="text1"/>
                <w:sz w:val="18"/>
                <w:szCs w:val="18"/>
                <w:lang w:val="en-US"/>
              </w:rPr>
              <w:t xml:space="preserve">, </w:t>
            </w:r>
            <w:r w:rsidRPr="008441F8">
              <w:rPr>
                <w:rFonts w:cstheme="minorHAnsi"/>
                <w:color w:val="000000" w:themeColor="text1"/>
                <w:sz w:val="18"/>
                <w:szCs w:val="18"/>
                <w:lang w:val="en-US"/>
              </w:rPr>
              <w:t>Δ</w:t>
            </w:r>
            <w:r w:rsidRPr="008441F8">
              <w:rPr>
                <w:rFonts w:cs="Times New Roman"/>
                <w:color w:val="000000" w:themeColor="text1"/>
                <w:sz w:val="18"/>
                <w:szCs w:val="18"/>
                <w:lang w:val="en-US"/>
              </w:rPr>
              <w:t xml:space="preserve">PVLB_10925, </w:t>
            </w:r>
            <w:r w:rsidRPr="008441F8">
              <w:rPr>
                <w:rFonts w:cstheme="minorHAnsi"/>
                <w:color w:val="000000" w:themeColor="text1"/>
                <w:sz w:val="18"/>
                <w:szCs w:val="18"/>
                <w:lang w:val="en-US"/>
              </w:rPr>
              <w:t>Δ</w:t>
            </w:r>
            <w:r w:rsidRPr="008441F8">
              <w:rPr>
                <w:rFonts w:cs="Times New Roman"/>
                <w:i/>
                <w:color w:val="000000" w:themeColor="text1"/>
                <w:sz w:val="18"/>
                <w:szCs w:val="18"/>
                <w:lang w:val="en-US"/>
              </w:rPr>
              <w:t>pykA</w:t>
            </w:r>
            <w:r w:rsidRPr="008441F8">
              <w:rPr>
                <w:rFonts w:cs="Times New Roman"/>
                <w:color w:val="000000" w:themeColor="text1"/>
                <w:sz w:val="18"/>
                <w:szCs w:val="18"/>
                <w:lang w:val="en-US"/>
              </w:rPr>
              <w:t xml:space="preserve">, </w:t>
            </w:r>
            <w:r w:rsidRPr="008441F8">
              <w:rPr>
                <w:rFonts w:cs="Times New Roman"/>
                <w:i/>
                <w:color w:val="000000" w:themeColor="text1"/>
                <w:sz w:val="18"/>
                <w:szCs w:val="18"/>
                <w:lang w:val="en-US"/>
              </w:rPr>
              <w:t>trpE</w:t>
            </w:r>
            <w:r w:rsidRPr="008441F8">
              <w:rPr>
                <w:rFonts w:cs="Times New Roman"/>
                <w:color w:val="000000" w:themeColor="text1"/>
                <w:sz w:val="18"/>
                <w:szCs w:val="18"/>
                <w:vertAlign w:val="superscript"/>
                <w:lang w:val="en-US"/>
              </w:rPr>
              <w:t>P290S</w:t>
            </w:r>
            <w:r w:rsidRPr="008441F8">
              <w:rPr>
                <w:rFonts w:cs="Times New Roman"/>
                <w:color w:val="000000" w:themeColor="text1"/>
                <w:sz w:val="18"/>
                <w:szCs w:val="18"/>
                <w:lang w:val="en-US"/>
              </w:rPr>
              <w:t xml:space="preserve">, </w:t>
            </w:r>
            <w:r w:rsidRPr="008441F8">
              <w:rPr>
                <w:rFonts w:cs="Times New Roman"/>
                <w:i/>
                <w:color w:val="000000" w:themeColor="text1"/>
                <w:sz w:val="18"/>
                <w:szCs w:val="18"/>
                <w:lang w:val="en-US"/>
              </w:rPr>
              <w:t>aroF</w:t>
            </w:r>
            <w:r w:rsidRPr="008441F8">
              <w:rPr>
                <w:rFonts w:cs="Times New Roman"/>
                <w:i/>
                <w:color w:val="000000" w:themeColor="text1"/>
                <w:sz w:val="18"/>
                <w:szCs w:val="18"/>
                <w:lang w:val="en-US"/>
              </w:rPr>
              <w:noBreakHyphen/>
              <w:t>1</w:t>
            </w:r>
            <w:r w:rsidRPr="008441F8">
              <w:rPr>
                <w:rFonts w:cs="Times New Roman"/>
                <w:color w:val="000000" w:themeColor="text1"/>
                <w:sz w:val="18"/>
                <w:szCs w:val="18"/>
                <w:vertAlign w:val="superscript"/>
                <w:lang w:val="en-US"/>
              </w:rPr>
              <w:t>P148L</w:t>
            </w:r>
            <w:r w:rsidRPr="008441F8">
              <w:rPr>
                <w:rFonts w:cs="Times New Roman"/>
                <w:color w:val="000000" w:themeColor="text1"/>
                <w:sz w:val="18"/>
                <w:szCs w:val="18"/>
                <w:lang w:val="en-US"/>
              </w:rPr>
              <w:t xml:space="preserve">, </w:t>
            </w:r>
            <w:r w:rsidRPr="008441F8">
              <w:rPr>
                <w:rFonts w:cs="Times New Roman"/>
                <w:i/>
                <w:color w:val="000000" w:themeColor="text1"/>
                <w:sz w:val="18"/>
                <w:szCs w:val="18"/>
                <w:lang w:val="en-US"/>
              </w:rPr>
              <w:t>pheA</w:t>
            </w:r>
            <w:r w:rsidRPr="008441F8">
              <w:rPr>
                <w:rFonts w:cs="Times New Roman"/>
                <w:color w:val="000000" w:themeColor="text1"/>
                <w:sz w:val="18"/>
                <w:szCs w:val="18"/>
                <w:vertAlign w:val="superscript"/>
                <w:lang w:val="en-US"/>
              </w:rPr>
              <w:t>T310I</w:t>
            </w:r>
          </w:p>
        </w:tc>
        <w:tc>
          <w:tcPr>
            <w:tcW w:w="2551" w:type="dxa"/>
          </w:tcPr>
          <w:p w14:paraId="22A2E815" w14:textId="77777777" w:rsidR="00AE654E" w:rsidRPr="008441F8" w:rsidRDefault="00AE654E" w:rsidP="000165F5">
            <w:pPr>
              <w:keepNext/>
              <w:jc w:val="both"/>
              <w:rPr>
                <w:sz w:val="18"/>
                <w:lang w:val="en-US"/>
              </w:rPr>
            </w:pPr>
            <w:r w:rsidRPr="008441F8">
              <w:rPr>
                <w:sz w:val="18"/>
                <w:lang w:val="en-US"/>
              </w:rPr>
              <w:fldChar w:fldCharType="begin" w:fldLock="1"/>
            </w:r>
            <w:r w:rsidRPr="008441F8">
              <w:rPr>
                <w:sz w:val="18"/>
                <w:lang w:val="en-US"/>
              </w:rPr>
              <w:instrText>ADDIN CSL_CITATION {"citationItems":[{"id":"ITEM-1","itemData":{"author":[{"dropping-particle":"","family":"Otto","given":"Maike","non-dropping-particle":"","parse-names":false,"suffix":""},{"dropping-particle":"","family":"Wynands","given":"Benedikt","non-dropping-particle":"","parse-names":false,"suffix":""},{"dropping-particle":"","family":"Lenzen","given":"Christoph","non-dropping-particle":"","parse-names":false,"suffix":""},{"dropping-particle":"","family":"Filbig","given":"Melanie","non-dropping-particle":"","parse-names":false,"suffix":""},{"dropping-particle":"","family":"Blank","given":"Lars M.","non-dropping-particle":"","parse-names":false,"suffix":""},{"dropping-particle":"","family":"Wierckx","given":"Nick","non-dropping-particle":"","parse-names":false,"suffix":""}],"container-title":"Frontiers in Bioengineering and Biotechnology","id":"ITEM-1","issue":"312","issued":{"date-parts":[["2019"]]},"title":"Rational Engineering of Phenylalanine Accumulation in &lt;i&gt;Pseudomonas taiwanensis&lt;/i&gt; to Enable High-Yield Production of &lt;i&gt;Trans&lt;/i&gt;-cinnamate","type":"article-journal","volume":"7"},"uris":["http://www.mendeley.com/documents/?uuid=cc52d9b6-c3a4-4b3e-8064-c01f80200ec1"]}],"mendeley":{"formattedCitation":"(Otto et al., 2019)","manualFormatting":"Otto et al. (2019)","plainTextFormattedCitation":"(Otto et al., 2019)","previouslyFormattedCitation":"(Otto et al., 2019)"},"properties":{"noteIndex":0},"schema":"https://github.com/citation-style-language/schema/raw/master/csl-citation.json"}</w:instrText>
            </w:r>
            <w:r w:rsidRPr="008441F8">
              <w:rPr>
                <w:sz w:val="18"/>
                <w:lang w:val="en-US"/>
              </w:rPr>
              <w:fldChar w:fldCharType="separate"/>
            </w:r>
            <w:r w:rsidRPr="008441F8">
              <w:rPr>
                <w:noProof/>
                <w:sz w:val="18"/>
                <w:lang w:val="en-US"/>
              </w:rPr>
              <w:t>Otto et al. (2019)</w:t>
            </w:r>
            <w:r w:rsidRPr="008441F8">
              <w:rPr>
                <w:sz w:val="18"/>
                <w:lang w:val="en-US"/>
              </w:rPr>
              <w:fldChar w:fldCharType="end"/>
            </w:r>
            <w:r w:rsidRPr="008441F8">
              <w:rPr>
                <w:sz w:val="18"/>
                <w:lang w:val="en-US"/>
              </w:rPr>
              <w:t>; MiKat#74</w:t>
            </w:r>
          </w:p>
        </w:tc>
      </w:tr>
      <w:tr w:rsidR="00AE654E" w:rsidRPr="008441F8" w14:paraId="4D228C3A" w14:textId="77777777" w:rsidTr="005B7F65">
        <w:tc>
          <w:tcPr>
            <w:tcW w:w="5524" w:type="dxa"/>
          </w:tcPr>
          <w:p w14:paraId="597AF781"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 xml:space="preserve">PHE </w:t>
            </w:r>
            <w:r w:rsidRPr="008441F8">
              <w:rPr>
                <w:rFonts w:cstheme="minorHAnsi"/>
                <w:i/>
                <w:color w:val="000000" w:themeColor="text1"/>
                <w:sz w:val="18"/>
                <w:szCs w:val="18"/>
                <w:lang w:val="en-US"/>
              </w:rPr>
              <w:t>attTn7::P</w:t>
            </w:r>
            <w:r w:rsidRPr="008441F8">
              <w:rPr>
                <w:rFonts w:cstheme="minorHAnsi"/>
                <w:i/>
                <w:color w:val="000000" w:themeColor="text1"/>
                <w:sz w:val="18"/>
                <w:szCs w:val="18"/>
                <w:vertAlign w:val="subscript"/>
                <w:lang w:val="en-US"/>
              </w:rPr>
              <w:t>14g</w:t>
            </w:r>
            <w:r w:rsidRPr="008441F8">
              <w:rPr>
                <w:rFonts w:cstheme="minorHAnsi"/>
                <w:i/>
                <w:color w:val="000000" w:themeColor="text1"/>
                <w:sz w:val="18"/>
                <w:szCs w:val="18"/>
                <w:lang w:val="en-US"/>
              </w:rPr>
              <w:t>-his.AhSTS-Sc4CL</w:t>
            </w:r>
            <w:r w:rsidRPr="008441F8">
              <w:rPr>
                <w:rFonts w:cstheme="minorHAnsi"/>
                <w:i/>
                <w:color w:val="000000" w:themeColor="text1"/>
                <w:sz w:val="18"/>
                <w:szCs w:val="18"/>
                <w:vertAlign w:val="superscript"/>
                <w:lang w:val="en-US"/>
              </w:rPr>
              <w:t>A294G</w:t>
            </w:r>
            <w:r w:rsidRPr="008441F8">
              <w:rPr>
                <w:rFonts w:cstheme="minorHAnsi"/>
                <w:i/>
                <w:color w:val="000000" w:themeColor="text1"/>
                <w:sz w:val="18"/>
                <w:szCs w:val="18"/>
                <w:lang w:val="en-US"/>
              </w:rPr>
              <w:t>-AtPAL2</w:t>
            </w:r>
          </w:p>
        </w:tc>
        <w:tc>
          <w:tcPr>
            <w:tcW w:w="6095" w:type="dxa"/>
          </w:tcPr>
          <w:p w14:paraId="5D75FD8F"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with pinosylvin production module</w:t>
            </w:r>
          </w:p>
        </w:tc>
        <w:tc>
          <w:tcPr>
            <w:tcW w:w="2551" w:type="dxa"/>
          </w:tcPr>
          <w:p w14:paraId="128D2DCB" w14:textId="77777777" w:rsidR="00AE654E" w:rsidRPr="008441F8" w:rsidRDefault="00AE654E" w:rsidP="000165F5">
            <w:pPr>
              <w:keepNext/>
              <w:jc w:val="both"/>
              <w:rPr>
                <w:sz w:val="18"/>
                <w:lang w:val="en-US"/>
              </w:rPr>
            </w:pPr>
            <w:r w:rsidRPr="008441F8">
              <w:rPr>
                <w:sz w:val="18"/>
                <w:lang w:val="en-US"/>
              </w:rPr>
              <w:t>This study; MiKat#182</w:t>
            </w:r>
          </w:p>
        </w:tc>
      </w:tr>
      <w:tr w:rsidR="00AE654E" w:rsidRPr="008441F8" w14:paraId="5D3803C1" w14:textId="77777777" w:rsidTr="005B7F65">
        <w:tc>
          <w:tcPr>
            <w:tcW w:w="5524" w:type="dxa"/>
          </w:tcPr>
          <w:p w14:paraId="416A71D9"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phaCZC2</w:t>
            </w:r>
          </w:p>
        </w:tc>
        <w:tc>
          <w:tcPr>
            <w:tcW w:w="6095" w:type="dxa"/>
          </w:tcPr>
          <w:p w14:paraId="2B9E7770"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PHA cluster (PVLB_02155-65)</w:t>
            </w:r>
          </w:p>
        </w:tc>
        <w:tc>
          <w:tcPr>
            <w:tcW w:w="2551" w:type="dxa"/>
          </w:tcPr>
          <w:p w14:paraId="7958C2D9" w14:textId="77777777" w:rsidR="00AE654E" w:rsidRPr="008441F8" w:rsidRDefault="00AE654E" w:rsidP="000165F5">
            <w:pPr>
              <w:keepNext/>
              <w:jc w:val="both"/>
              <w:rPr>
                <w:sz w:val="18"/>
                <w:lang w:val="en-US"/>
              </w:rPr>
            </w:pPr>
            <w:r w:rsidRPr="008441F8">
              <w:rPr>
                <w:sz w:val="18"/>
                <w:lang w:val="en-US"/>
              </w:rPr>
              <w:t>This study; MiKat#338</w:t>
            </w:r>
          </w:p>
        </w:tc>
      </w:tr>
      <w:tr w:rsidR="00AE654E" w:rsidRPr="008441F8" w14:paraId="2875C4C6" w14:textId="77777777" w:rsidTr="005B7F65">
        <w:tc>
          <w:tcPr>
            <w:tcW w:w="5524" w:type="dxa"/>
          </w:tcPr>
          <w:p w14:paraId="48F4E5F2"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phaCZC2</w:t>
            </w:r>
            <w:r w:rsidRPr="00B97427">
              <w:rPr>
                <w:rFonts w:cstheme="minorHAnsi"/>
                <w:color w:val="000000" w:themeColor="text1"/>
                <w:sz w:val="18"/>
                <w:szCs w:val="18"/>
              </w:rPr>
              <w:t xml:space="preserve">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76263ECA"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phaCZC2</w:t>
            </w:r>
            <w:r w:rsidRPr="008441F8">
              <w:rPr>
                <w:rFonts w:cstheme="minorHAnsi"/>
                <w:color w:val="000000" w:themeColor="text1"/>
                <w:sz w:val="18"/>
                <w:szCs w:val="18"/>
                <w:lang w:val="en-US"/>
              </w:rPr>
              <w:t>; with pinosylvin production module</w:t>
            </w:r>
          </w:p>
        </w:tc>
        <w:tc>
          <w:tcPr>
            <w:tcW w:w="2551" w:type="dxa"/>
          </w:tcPr>
          <w:p w14:paraId="3443CF55" w14:textId="77777777" w:rsidR="00AE654E" w:rsidRPr="008441F8" w:rsidRDefault="00AE654E" w:rsidP="000165F5">
            <w:pPr>
              <w:keepNext/>
              <w:jc w:val="both"/>
              <w:rPr>
                <w:sz w:val="18"/>
                <w:lang w:val="en-US"/>
              </w:rPr>
            </w:pPr>
            <w:r w:rsidRPr="008441F8">
              <w:rPr>
                <w:sz w:val="18"/>
                <w:lang w:val="en-US"/>
              </w:rPr>
              <w:t>This study; MiKat#365</w:t>
            </w:r>
          </w:p>
        </w:tc>
      </w:tr>
      <w:tr w:rsidR="00AE654E" w:rsidRPr="008441F8" w14:paraId="2A2F7F91" w14:textId="77777777" w:rsidTr="005B7F65">
        <w:tc>
          <w:tcPr>
            <w:tcW w:w="5524" w:type="dxa"/>
          </w:tcPr>
          <w:p w14:paraId="490AB20D"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gcd</w:t>
            </w:r>
          </w:p>
        </w:tc>
        <w:tc>
          <w:tcPr>
            <w:tcW w:w="6095" w:type="dxa"/>
          </w:tcPr>
          <w:p w14:paraId="3A5D798F"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glucose dehydrogenase (PVLB_05240)</w:t>
            </w:r>
          </w:p>
        </w:tc>
        <w:tc>
          <w:tcPr>
            <w:tcW w:w="2551" w:type="dxa"/>
          </w:tcPr>
          <w:p w14:paraId="2F0D3ED0" w14:textId="77777777" w:rsidR="00AE654E" w:rsidRPr="008441F8" w:rsidRDefault="00AE654E" w:rsidP="000165F5">
            <w:pPr>
              <w:keepNext/>
              <w:jc w:val="both"/>
              <w:rPr>
                <w:sz w:val="18"/>
                <w:lang w:val="en-US"/>
              </w:rPr>
            </w:pPr>
            <w:r w:rsidRPr="008441F8">
              <w:rPr>
                <w:sz w:val="18"/>
                <w:lang w:val="en-US"/>
              </w:rPr>
              <w:t>This study; MiKat#339</w:t>
            </w:r>
          </w:p>
        </w:tc>
      </w:tr>
      <w:tr w:rsidR="00AE654E" w:rsidRPr="008441F8" w14:paraId="6359825B" w14:textId="77777777" w:rsidTr="005B7F65">
        <w:tc>
          <w:tcPr>
            <w:tcW w:w="5524" w:type="dxa"/>
          </w:tcPr>
          <w:p w14:paraId="7B3D9485"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gcd</w:t>
            </w:r>
            <w:r w:rsidRPr="00B97427">
              <w:rPr>
                <w:rFonts w:cstheme="minorHAnsi"/>
                <w:color w:val="000000" w:themeColor="text1"/>
                <w:sz w:val="18"/>
                <w:szCs w:val="18"/>
              </w:rPr>
              <w:t xml:space="preserve">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0477B106"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gcd</w:t>
            </w:r>
            <w:r w:rsidRPr="008441F8">
              <w:rPr>
                <w:rFonts w:cstheme="minorHAnsi"/>
                <w:color w:val="000000" w:themeColor="text1"/>
                <w:sz w:val="18"/>
                <w:szCs w:val="18"/>
                <w:lang w:val="en-US"/>
              </w:rPr>
              <w:t>; with pinosylvin production module</w:t>
            </w:r>
          </w:p>
        </w:tc>
        <w:tc>
          <w:tcPr>
            <w:tcW w:w="2551" w:type="dxa"/>
          </w:tcPr>
          <w:p w14:paraId="7ECEECA5" w14:textId="77777777" w:rsidR="00AE654E" w:rsidRPr="008441F8" w:rsidRDefault="00AE654E" w:rsidP="000165F5">
            <w:pPr>
              <w:keepNext/>
              <w:jc w:val="both"/>
              <w:rPr>
                <w:sz w:val="18"/>
                <w:lang w:val="en-US"/>
              </w:rPr>
            </w:pPr>
            <w:r w:rsidRPr="008441F8">
              <w:rPr>
                <w:sz w:val="18"/>
                <w:lang w:val="en-US"/>
              </w:rPr>
              <w:t>This study; MiKat#366</w:t>
            </w:r>
          </w:p>
        </w:tc>
      </w:tr>
      <w:tr w:rsidR="00AE654E" w:rsidRPr="008441F8" w14:paraId="490E2746" w14:textId="77777777" w:rsidTr="005B7F65">
        <w:tc>
          <w:tcPr>
            <w:tcW w:w="5524" w:type="dxa"/>
          </w:tcPr>
          <w:p w14:paraId="7BEAC62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tesB</w:t>
            </w:r>
          </w:p>
        </w:tc>
        <w:tc>
          <w:tcPr>
            <w:tcW w:w="6095" w:type="dxa"/>
          </w:tcPr>
          <w:p w14:paraId="78C1CCD7"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w:t>
            </w:r>
            <w:r w:rsidRPr="008441F8">
              <w:rPr>
                <w:lang w:val="en-US"/>
              </w:rPr>
              <w:t xml:space="preserve"> </w:t>
            </w:r>
            <w:r w:rsidRPr="008441F8">
              <w:rPr>
                <w:rFonts w:cs="Times New Roman"/>
                <w:color w:val="000000" w:themeColor="text1"/>
                <w:sz w:val="18"/>
                <w:szCs w:val="18"/>
                <w:lang w:val="en-US"/>
              </w:rPr>
              <w:t>type II thioesterase (PVLB_03305)</w:t>
            </w:r>
          </w:p>
        </w:tc>
        <w:tc>
          <w:tcPr>
            <w:tcW w:w="2551" w:type="dxa"/>
          </w:tcPr>
          <w:p w14:paraId="3DDC574E" w14:textId="77777777" w:rsidR="00AE654E" w:rsidRPr="008441F8" w:rsidRDefault="00AE654E" w:rsidP="000165F5">
            <w:pPr>
              <w:keepNext/>
              <w:jc w:val="both"/>
              <w:rPr>
                <w:sz w:val="18"/>
                <w:lang w:val="en-US"/>
              </w:rPr>
            </w:pPr>
            <w:r w:rsidRPr="008441F8">
              <w:rPr>
                <w:sz w:val="18"/>
                <w:lang w:val="en-US"/>
              </w:rPr>
              <w:t>This study; MiKat#383</w:t>
            </w:r>
          </w:p>
        </w:tc>
      </w:tr>
      <w:tr w:rsidR="00AE654E" w:rsidRPr="008441F8" w14:paraId="238D51C5" w14:textId="77777777" w:rsidTr="005B7F65">
        <w:tc>
          <w:tcPr>
            <w:tcW w:w="5524" w:type="dxa"/>
          </w:tcPr>
          <w:p w14:paraId="3F057D66"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tesB</w:t>
            </w:r>
            <w:r w:rsidRPr="00B97427">
              <w:rPr>
                <w:rFonts w:cstheme="minorHAnsi"/>
                <w:color w:val="000000" w:themeColor="text1"/>
                <w:sz w:val="18"/>
                <w:szCs w:val="18"/>
              </w:rPr>
              <w:t xml:space="preserve">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50A88B25"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tesB</w:t>
            </w:r>
            <w:r w:rsidRPr="008441F8">
              <w:rPr>
                <w:rFonts w:cstheme="minorHAnsi"/>
                <w:color w:val="000000" w:themeColor="text1"/>
                <w:sz w:val="18"/>
                <w:szCs w:val="18"/>
                <w:lang w:val="en-US"/>
              </w:rPr>
              <w:t>; with pinosylvin production module</w:t>
            </w:r>
          </w:p>
        </w:tc>
        <w:tc>
          <w:tcPr>
            <w:tcW w:w="2551" w:type="dxa"/>
          </w:tcPr>
          <w:p w14:paraId="6CEEE327" w14:textId="77777777" w:rsidR="00AE654E" w:rsidRPr="008441F8" w:rsidRDefault="00AE654E" w:rsidP="000165F5">
            <w:pPr>
              <w:keepNext/>
              <w:jc w:val="both"/>
              <w:rPr>
                <w:sz w:val="18"/>
                <w:lang w:val="en-US"/>
              </w:rPr>
            </w:pPr>
            <w:r w:rsidRPr="008441F8">
              <w:rPr>
                <w:sz w:val="18"/>
                <w:lang w:val="en-US"/>
              </w:rPr>
              <w:t>This study; MiKat#388</w:t>
            </w:r>
          </w:p>
        </w:tc>
      </w:tr>
      <w:tr w:rsidR="00AE654E" w:rsidRPr="008441F8" w14:paraId="5C6E5015" w14:textId="77777777" w:rsidTr="005B7F65">
        <w:tc>
          <w:tcPr>
            <w:tcW w:w="5524" w:type="dxa"/>
          </w:tcPr>
          <w:p w14:paraId="7F86BD1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∆PVLB_02920</w:t>
            </w:r>
          </w:p>
        </w:tc>
        <w:tc>
          <w:tcPr>
            <w:tcW w:w="6095" w:type="dxa"/>
          </w:tcPr>
          <w:p w14:paraId="6F121DD5"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putative regulator PVLB_02920</w:t>
            </w:r>
          </w:p>
        </w:tc>
        <w:tc>
          <w:tcPr>
            <w:tcW w:w="2551" w:type="dxa"/>
          </w:tcPr>
          <w:p w14:paraId="250F70FD" w14:textId="77777777" w:rsidR="00AE654E" w:rsidRPr="008441F8" w:rsidRDefault="00AE654E" w:rsidP="000165F5">
            <w:pPr>
              <w:keepNext/>
              <w:jc w:val="both"/>
              <w:rPr>
                <w:sz w:val="18"/>
                <w:lang w:val="en-US"/>
              </w:rPr>
            </w:pPr>
            <w:r w:rsidRPr="008441F8">
              <w:rPr>
                <w:sz w:val="18"/>
                <w:lang w:val="en-US"/>
              </w:rPr>
              <w:t>This study; MiKat#271</w:t>
            </w:r>
          </w:p>
        </w:tc>
      </w:tr>
      <w:tr w:rsidR="00AE654E" w:rsidRPr="008441F8" w14:paraId="0C029ACF" w14:textId="77777777" w:rsidTr="005B7F65">
        <w:tc>
          <w:tcPr>
            <w:tcW w:w="5524" w:type="dxa"/>
          </w:tcPr>
          <w:p w14:paraId="0F031BFC"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 xml:space="preserve">PHE ∆PVLB_02920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05554AAC"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∆PVLB_02920; with pinosylvin production module</w:t>
            </w:r>
          </w:p>
        </w:tc>
        <w:tc>
          <w:tcPr>
            <w:tcW w:w="2551" w:type="dxa"/>
          </w:tcPr>
          <w:p w14:paraId="341E5DD6" w14:textId="77777777" w:rsidR="00AE654E" w:rsidRPr="008441F8" w:rsidRDefault="00AE654E" w:rsidP="000165F5">
            <w:pPr>
              <w:keepNext/>
              <w:jc w:val="both"/>
              <w:rPr>
                <w:sz w:val="18"/>
                <w:lang w:val="en-US"/>
              </w:rPr>
            </w:pPr>
            <w:r w:rsidRPr="008441F8">
              <w:rPr>
                <w:sz w:val="18"/>
                <w:lang w:val="en-US"/>
              </w:rPr>
              <w:t>This study; MiKat#299</w:t>
            </w:r>
          </w:p>
        </w:tc>
      </w:tr>
      <w:tr w:rsidR="00AE654E" w:rsidRPr="008441F8" w14:paraId="72304868" w14:textId="77777777" w:rsidTr="005B7F65">
        <w:tc>
          <w:tcPr>
            <w:tcW w:w="5524" w:type="dxa"/>
          </w:tcPr>
          <w:p w14:paraId="5AF9B64A"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∆PVLB_01730-01815</w:t>
            </w:r>
          </w:p>
        </w:tc>
        <w:tc>
          <w:tcPr>
            <w:tcW w:w="6095" w:type="dxa"/>
          </w:tcPr>
          <w:p w14:paraId="38D30C7A"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putative secondary metabolite cluster</w:t>
            </w:r>
          </w:p>
        </w:tc>
        <w:tc>
          <w:tcPr>
            <w:tcW w:w="2551" w:type="dxa"/>
          </w:tcPr>
          <w:p w14:paraId="139264C3" w14:textId="77777777" w:rsidR="00AE654E" w:rsidRPr="008441F8" w:rsidRDefault="00AE654E" w:rsidP="000165F5">
            <w:pPr>
              <w:keepNext/>
              <w:jc w:val="both"/>
              <w:rPr>
                <w:sz w:val="18"/>
                <w:lang w:val="en-US"/>
              </w:rPr>
            </w:pPr>
            <w:r w:rsidRPr="008441F8">
              <w:rPr>
                <w:sz w:val="18"/>
                <w:lang w:val="en-US"/>
              </w:rPr>
              <w:t>This study; MiKat#262</w:t>
            </w:r>
          </w:p>
        </w:tc>
      </w:tr>
      <w:tr w:rsidR="00AE654E" w:rsidRPr="008441F8" w14:paraId="36A11776" w14:textId="77777777" w:rsidTr="005B7F65">
        <w:tc>
          <w:tcPr>
            <w:tcW w:w="5524" w:type="dxa"/>
          </w:tcPr>
          <w:p w14:paraId="4156A721"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 xml:space="preserve">PHE ∆PVLB_01730-01815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345685D0"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∆PVLB_01730-01815; with pinosylvin production module</w:t>
            </w:r>
          </w:p>
        </w:tc>
        <w:tc>
          <w:tcPr>
            <w:tcW w:w="2551" w:type="dxa"/>
          </w:tcPr>
          <w:p w14:paraId="76585AD2" w14:textId="77777777" w:rsidR="00AE654E" w:rsidRPr="008441F8" w:rsidRDefault="00AE654E" w:rsidP="000165F5">
            <w:pPr>
              <w:keepNext/>
              <w:jc w:val="both"/>
              <w:rPr>
                <w:sz w:val="18"/>
                <w:lang w:val="en-US"/>
              </w:rPr>
            </w:pPr>
            <w:r w:rsidRPr="008441F8">
              <w:rPr>
                <w:sz w:val="18"/>
                <w:lang w:val="en-US"/>
              </w:rPr>
              <w:t>This study; MiKat#265</w:t>
            </w:r>
          </w:p>
        </w:tc>
      </w:tr>
      <w:tr w:rsidR="00AE654E" w:rsidRPr="008441F8" w14:paraId="6077521E" w14:textId="77777777" w:rsidTr="005B7F65">
        <w:tc>
          <w:tcPr>
            <w:tcW w:w="5524" w:type="dxa"/>
          </w:tcPr>
          <w:p w14:paraId="5D0DD65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w:t>
            </w:r>
            <w:r w:rsidRPr="008441F8">
              <w:rPr>
                <w:rFonts w:cstheme="minorHAnsi"/>
                <w:i/>
                <w:iCs/>
                <w:color w:val="000000" w:themeColor="text1"/>
                <w:sz w:val="18"/>
                <w:szCs w:val="18"/>
                <w:vertAlign w:val="subscript"/>
                <w:lang w:val="en-US"/>
              </w:rPr>
              <w:t>gltA</w:t>
            </w:r>
            <w:r w:rsidRPr="008441F8">
              <w:rPr>
                <w:rFonts w:cstheme="minorHAnsi"/>
                <w:color w:val="000000" w:themeColor="text1"/>
                <w:sz w:val="18"/>
                <w:szCs w:val="18"/>
                <w:lang w:val="en-US"/>
              </w:rPr>
              <w:t>::</w:t>
            </w:r>
            <w:r w:rsidRPr="008441F8">
              <w:rPr>
                <w:rFonts w:cstheme="minorHAnsi"/>
                <w:i/>
                <w:iCs/>
                <w:color w:val="000000" w:themeColor="text1"/>
                <w:sz w:val="18"/>
                <w:szCs w:val="18"/>
                <w:lang w:val="en-US"/>
              </w:rPr>
              <w:t>P</w:t>
            </w:r>
            <w:r w:rsidRPr="008441F8">
              <w:rPr>
                <w:rFonts w:cstheme="minorHAnsi"/>
                <w:i/>
                <w:iCs/>
                <w:color w:val="000000" w:themeColor="text1"/>
                <w:sz w:val="18"/>
                <w:szCs w:val="18"/>
                <w:vertAlign w:val="subscript"/>
                <w:lang w:val="en-US"/>
              </w:rPr>
              <w:t>14a</w:t>
            </w:r>
            <w:r w:rsidRPr="008441F8">
              <w:rPr>
                <w:rFonts w:cstheme="minorHAnsi"/>
                <w:color w:val="000000" w:themeColor="text1"/>
                <w:sz w:val="18"/>
                <w:szCs w:val="18"/>
                <w:lang w:val="en-US"/>
              </w:rPr>
              <w:t>*</w:t>
            </w:r>
          </w:p>
        </w:tc>
        <w:tc>
          <w:tcPr>
            <w:tcW w:w="6095" w:type="dxa"/>
          </w:tcPr>
          <w:p w14:paraId="76E5BF71"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exchanged promoter of citrate synthase</w:t>
            </w:r>
          </w:p>
        </w:tc>
        <w:tc>
          <w:tcPr>
            <w:tcW w:w="2551" w:type="dxa"/>
          </w:tcPr>
          <w:p w14:paraId="66EE5672" w14:textId="77777777" w:rsidR="00AE654E" w:rsidRPr="008441F8" w:rsidRDefault="00AE654E" w:rsidP="000165F5">
            <w:pPr>
              <w:keepNext/>
              <w:jc w:val="both"/>
              <w:rPr>
                <w:sz w:val="18"/>
                <w:lang w:val="en-US"/>
              </w:rPr>
            </w:pPr>
            <w:r w:rsidRPr="008441F8">
              <w:rPr>
                <w:sz w:val="18"/>
                <w:lang w:val="en-US"/>
              </w:rPr>
              <w:t>This study; MiKat#263</w:t>
            </w:r>
          </w:p>
        </w:tc>
      </w:tr>
      <w:tr w:rsidR="00AE654E" w:rsidRPr="008441F8" w14:paraId="7293514F" w14:textId="77777777" w:rsidTr="005B7F65">
        <w:tc>
          <w:tcPr>
            <w:tcW w:w="5524" w:type="dxa"/>
          </w:tcPr>
          <w:p w14:paraId="5C9628A8"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w:t>
            </w:r>
            <w:r w:rsidRPr="008441F8">
              <w:rPr>
                <w:rFonts w:cstheme="minorHAnsi"/>
                <w:i/>
                <w:iCs/>
                <w:color w:val="000000" w:themeColor="text1"/>
                <w:sz w:val="18"/>
                <w:szCs w:val="18"/>
                <w:vertAlign w:val="subscript"/>
                <w:lang w:val="en-US"/>
              </w:rPr>
              <w:t>gltA</w:t>
            </w:r>
            <w:r w:rsidRPr="008441F8">
              <w:rPr>
                <w:rFonts w:cstheme="minorHAnsi"/>
                <w:color w:val="000000" w:themeColor="text1"/>
                <w:sz w:val="18"/>
                <w:szCs w:val="18"/>
                <w:lang w:val="en-US"/>
              </w:rPr>
              <w:t>::</w:t>
            </w:r>
            <w:r w:rsidRPr="008441F8">
              <w:rPr>
                <w:rFonts w:cstheme="minorHAnsi"/>
                <w:i/>
                <w:iCs/>
                <w:color w:val="000000" w:themeColor="text1"/>
                <w:sz w:val="18"/>
                <w:szCs w:val="18"/>
                <w:lang w:val="en-US"/>
              </w:rPr>
              <w:t>P</w:t>
            </w:r>
            <w:r w:rsidRPr="008441F8">
              <w:rPr>
                <w:rFonts w:cstheme="minorHAnsi"/>
                <w:i/>
                <w:iCs/>
                <w:color w:val="000000" w:themeColor="text1"/>
                <w:sz w:val="18"/>
                <w:szCs w:val="18"/>
                <w:vertAlign w:val="subscript"/>
                <w:lang w:val="en-US"/>
              </w:rPr>
              <w:t>14a</w:t>
            </w:r>
            <w:r w:rsidRPr="008441F8">
              <w:rPr>
                <w:rFonts w:cstheme="minorHAnsi"/>
                <w:i/>
                <w:iCs/>
                <w:color w:val="000000" w:themeColor="text1"/>
                <w:sz w:val="18"/>
                <w:szCs w:val="18"/>
                <w:lang w:val="en-US"/>
              </w:rPr>
              <w:t>*</w:t>
            </w:r>
            <w:r w:rsidRPr="008441F8">
              <w:rPr>
                <w:rFonts w:cstheme="minorHAnsi"/>
                <w:color w:val="000000" w:themeColor="text1"/>
                <w:sz w:val="18"/>
                <w:szCs w:val="18"/>
                <w:lang w:val="en-US"/>
              </w:rPr>
              <w:t xml:space="preserve"> </w:t>
            </w:r>
            <w:r w:rsidRPr="008441F8">
              <w:rPr>
                <w:rFonts w:cstheme="minorHAnsi"/>
                <w:i/>
                <w:color w:val="000000" w:themeColor="text1"/>
                <w:sz w:val="18"/>
                <w:szCs w:val="18"/>
                <w:lang w:val="en-US"/>
              </w:rPr>
              <w:t>attTn7::P</w:t>
            </w:r>
            <w:r w:rsidRPr="008441F8">
              <w:rPr>
                <w:rFonts w:cstheme="minorHAnsi"/>
                <w:i/>
                <w:color w:val="000000" w:themeColor="text1"/>
                <w:sz w:val="18"/>
                <w:szCs w:val="18"/>
                <w:vertAlign w:val="subscript"/>
                <w:lang w:val="en-US"/>
              </w:rPr>
              <w:t>14g</w:t>
            </w:r>
            <w:r w:rsidRPr="008441F8">
              <w:rPr>
                <w:rFonts w:cstheme="minorHAnsi"/>
                <w:i/>
                <w:color w:val="000000" w:themeColor="text1"/>
                <w:sz w:val="18"/>
                <w:szCs w:val="18"/>
                <w:lang w:val="en-US"/>
              </w:rPr>
              <w:t>-his.AhSTS-Sc4CL</w:t>
            </w:r>
            <w:r w:rsidRPr="008441F8">
              <w:rPr>
                <w:rFonts w:cstheme="minorHAnsi"/>
                <w:i/>
                <w:color w:val="000000" w:themeColor="text1"/>
                <w:sz w:val="18"/>
                <w:szCs w:val="18"/>
                <w:vertAlign w:val="superscript"/>
                <w:lang w:val="en-US"/>
              </w:rPr>
              <w:t>A294G</w:t>
            </w:r>
            <w:r w:rsidRPr="008441F8">
              <w:rPr>
                <w:rFonts w:cstheme="minorHAnsi"/>
                <w:i/>
                <w:color w:val="000000" w:themeColor="text1"/>
                <w:sz w:val="18"/>
                <w:szCs w:val="18"/>
                <w:lang w:val="en-US"/>
              </w:rPr>
              <w:t>-AtPAL2</w:t>
            </w:r>
          </w:p>
        </w:tc>
        <w:tc>
          <w:tcPr>
            <w:tcW w:w="6095" w:type="dxa"/>
          </w:tcPr>
          <w:p w14:paraId="07A2941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Phenylalanine platform strain; exchanged promoter of citrate synthase; </w:t>
            </w:r>
            <w:r w:rsidRPr="008441F8">
              <w:rPr>
                <w:rFonts w:cstheme="minorHAnsi"/>
                <w:color w:val="000000" w:themeColor="text1"/>
                <w:sz w:val="18"/>
                <w:szCs w:val="18"/>
                <w:lang w:val="en-US"/>
              </w:rPr>
              <w:t>with pinosylvin production module</w:t>
            </w:r>
          </w:p>
        </w:tc>
        <w:tc>
          <w:tcPr>
            <w:tcW w:w="2551" w:type="dxa"/>
          </w:tcPr>
          <w:p w14:paraId="031909A3" w14:textId="77777777" w:rsidR="00AE654E" w:rsidRPr="008441F8" w:rsidRDefault="00AE654E" w:rsidP="000165F5">
            <w:pPr>
              <w:keepNext/>
              <w:jc w:val="both"/>
              <w:rPr>
                <w:sz w:val="18"/>
                <w:lang w:val="en-US"/>
              </w:rPr>
            </w:pPr>
            <w:r w:rsidRPr="008441F8">
              <w:rPr>
                <w:sz w:val="18"/>
                <w:lang w:val="en-US"/>
              </w:rPr>
              <w:t>This study; MiKat#266</w:t>
            </w:r>
          </w:p>
        </w:tc>
      </w:tr>
      <w:tr w:rsidR="00AE654E" w:rsidRPr="008441F8" w14:paraId="41071D29" w14:textId="77777777" w:rsidTr="005B7F65">
        <w:tc>
          <w:tcPr>
            <w:tcW w:w="5524" w:type="dxa"/>
          </w:tcPr>
          <w:p w14:paraId="18A32C28"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prpC</w:t>
            </w:r>
          </w:p>
        </w:tc>
        <w:tc>
          <w:tcPr>
            <w:tcW w:w="6095" w:type="dxa"/>
          </w:tcPr>
          <w:p w14:paraId="46E1A6AA"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methyl citrate synthase</w:t>
            </w:r>
          </w:p>
        </w:tc>
        <w:tc>
          <w:tcPr>
            <w:tcW w:w="2551" w:type="dxa"/>
          </w:tcPr>
          <w:p w14:paraId="59C3A112" w14:textId="77777777" w:rsidR="00AE654E" w:rsidRPr="008441F8" w:rsidRDefault="00AE654E" w:rsidP="000165F5">
            <w:pPr>
              <w:keepNext/>
              <w:jc w:val="both"/>
              <w:rPr>
                <w:sz w:val="18"/>
                <w:lang w:val="en-US"/>
              </w:rPr>
            </w:pPr>
            <w:r w:rsidRPr="008441F8">
              <w:rPr>
                <w:sz w:val="18"/>
                <w:lang w:val="en-US"/>
              </w:rPr>
              <w:t>This study; MiKat#314</w:t>
            </w:r>
          </w:p>
        </w:tc>
      </w:tr>
      <w:tr w:rsidR="00AE654E" w:rsidRPr="008441F8" w14:paraId="5657174E" w14:textId="77777777" w:rsidTr="005B7F65">
        <w:tc>
          <w:tcPr>
            <w:tcW w:w="5524" w:type="dxa"/>
          </w:tcPr>
          <w:p w14:paraId="48F67DC5"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prpC</w:t>
            </w:r>
            <w:r w:rsidRPr="008441F8">
              <w:rPr>
                <w:rFonts w:cstheme="minorHAnsi"/>
                <w:color w:val="000000" w:themeColor="text1"/>
                <w:sz w:val="18"/>
                <w:szCs w:val="18"/>
                <w:lang w:val="en-US"/>
              </w:rPr>
              <w:t xml:space="preserve"> </w:t>
            </w:r>
            <w:r w:rsidRPr="008441F8">
              <w:rPr>
                <w:rFonts w:cstheme="minorHAnsi"/>
                <w:i/>
                <w:color w:val="000000" w:themeColor="text1"/>
                <w:sz w:val="18"/>
                <w:szCs w:val="18"/>
                <w:lang w:val="en-US"/>
              </w:rPr>
              <w:t>attTn7::P</w:t>
            </w:r>
            <w:r w:rsidRPr="008441F8">
              <w:rPr>
                <w:rFonts w:cstheme="minorHAnsi"/>
                <w:i/>
                <w:color w:val="000000" w:themeColor="text1"/>
                <w:sz w:val="18"/>
                <w:szCs w:val="18"/>
                <w:vertAlign w:val="subscript"/>
                <w:lang w:val="en-US"/>
              </w:rPr>
              <w:t>14g</w:t>
            </w:r>
            <w:r w:rsidRPr="008441F8">
              <w:rPr>
                <w:rFonts w:cstheme="minorHAnsi"/>
                <w:i/>
                <w:color w:val="000000" w:themeColor="text1"/>
                <w:sz w:val="18"/>
                <w:szCs w:val="18"/>
                <w:lang w:val="en-US"/>
              </w:rPr>
              <w:t>-his.AhSTS-Sc4CL</w:t>
            </w:r>
            <w:r w:rsidRPr="008441F8">
              <w:rPr>
                <w:rFonts w:cstheme="minorHAnsi"/>
                <w:i/>
                <w:color w:val="000000" w:themeColor="text1"/>
                <w:sz w:val="18"/>
                <w:szCs w:val="18"/>
                <w:vertAlign w:val="superscript"/>
                <w:lang w:val="en-US"/>
              </w:rPr>
              <w:t>A294G</w:t>
            </w:r>
            <w:r w:rsidRPr="008441F8">
              <w:rPr>
                <w:rFonts w:cstheme="minorHAnsi"/>
                <w:i/>
                <w:color w:val="000000" w:themeColor="text1"/>
                <w:sz w:val="18"/>
                <w:szCs w:val="18"/>
                <w:lang w:val="en-US"/>
              </w:rPr>
              <w:t>-AtPAL2</w:t>
            </w:r>
          </w:p>
        </w:tc>
        <w:tc>
          <w:tcPr>
            <w:tcW w:w="6095" w:type="dxa"/>
          </w:tcPr>
          <w:p w14:paraId="3343BA2C"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Phenylalanine platform strain; deleted methyl citrate synthase; </w:t>
            </w:r>
            <w:r w:rsidRPr="008441F8">
              <w:rPr>
                <w:rFonts w:cstheme="minorHAnsi"/>
                <w:color w:val="000000" w:themeColor="text1"/>
                <w:sz w:val="18"/>
                <w:szCs w:val="18"/>
                <w:lang w:val="en-US"/>
              </w:rPr>
              <w:t>with pinosylvin production module</w:t>
            </w:r>
          </w:p>
        </w:tc>
        <w:tc>
          <w:tcPr>
            <w:tcW w:w="2551" w:type="dxa"/>
          </w:tcPr>
          <w:p w14:paraId="4849E806" w14:textId="77777777" w:rsidR="00AE654E" w:rsidRPr="008441F8" w:rsidRDefault="00AE654E" w:rsidP="000165F5">
            <w:pPr>
              <w:keepNext/>
              <w:jc w:val="both"/>
              <w:rPr>
                <w:sz w:val="18"/>
                <w:lang w:val="en-US"/>
              </w:rPr>
            </w:pPr>
            <w:r w:rsidRPr="008441F8">
              <w:rPr>
                <w:sz w:val="18"/>
                <w:lang w:val="en-US"/>
              </w:rPr>
              <w:t>This study; MiKat#364</w:t>
            </w:r>
          </w:p>
        </w:tc>
      </w:tr>
      <w:tr w:rsidR="00AE654E" w:rsidRPr="008441F8" w14:paraId="64E77D0E" w14:textId="77777777" w:rsidTr="005B7F65">
        <w:tc>
          <w:tcPr>
            <w:tcW w:w="5524" w:type="dxa"/>
          </w:tcPr>
          <w:p w14:paraId="6625DF1B"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prpC</w:t>
            </w:r>
            <w:r w:rsidRPr="008441F8">
              <w:rPr>
                <w:rFonts w:cstheme="minorHAnsi"/>
                <w:color w:val="000000" w:themeColor="text1"/>
                <w:sz w:val="18"/>
                <w:szCs w:val="18"/>
                <w:lang w:val="en-US"/>
              </w:rPr>
              <w:t xml:space="preserve"> ∆</w:t>
            </w:r>
            <w:r w:rsidRPr="008441F8">
              <w:rPr>
                <w:rFonts w:cstheme="minorHAnsi"/>
                <w:i/>
                <w:iCs/>
                <w:color w:val="000000" w:themeColor="text1"/>
                <w:sz w:val="18"/>
                <w:szCs w:val="18"/>
                <w:lang w:val="en-US"/>
              </w:rPr>
              <w:t>gltA</w:t>
            </w:r>
            <w:r w:rsidRPr="008441F8">
              <w:rPr>
                <w:rFonts w:cstheme="minorHAnsi"/>
                <w:color w:val="000000" w:themeColor="text1"/>
                <w:sz w:val="18"/>
                <w:szCs w:val="18"/>
                <w:lang w:val="en-US"/>
              </w:rPr>
              <w:t>::</w:t>
            </w:r>
            <w:r w:rsidRPr="008441F8">
              <w:rPr>
                <w:rFonts w:cstheme="minorHAnsi"/>
                <w:i/>
                <w:iCs/>
                <w:color w:val="000000" w:themeColor="text1"/>
                <w:sz w:val="18"/>
                <w:szCs w:val="18"/>
                <w:lang w:val="en-US"/>
              </w:rPr>
              <w:t>prpC</w:t>
            </w:r>
          </w:p>
        </w:tc>
        <w:tc>
          <w:tcPr>
            <w:tcW w:w="6095" w:type="dxa"/>
          </w:tcPr>
          <w:p w14:paraId="55ECEB7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methyl citrate synthase in native locus and replaced citrate synthase</w:t>
            </w:r>
          </w:p>
        </w:tc>
        <w:tc>
          <w:tcPr>
            <w:tcW w:w="2551" w:type="dxa"/>
          </w:tcPr>
          <w:p w14:paraId="7D13350F" w14:textId="77777777" w:rsidR="00AE654E" w:rsidRPr="008441F8" w:rsidRDefault="00AE654E" w:rsidP="000165F5">
            <w:pPr>
              <w:keepNext/>
              <w:jc w:val="both"/>
              <w:rPr>
                <w:sz w:val="18"/>
                <w:lang w:val="en-US"/>
              </w:rPr>
            </w:pPr>
            <w:r w:rsidRPr="008441F8">
              <w:rPr>
                <w:sz w:val="18"/>
                <w:lang w:val="en-US"/>
              </w:rPr>
              <w:t>This study; MiKat#361</w:t>
            </w:r>
          </w:p>
        </w:tc>
      </w:tr>
      <w:tr w:rsidR="00AE654E" w:rsidRPr="008441F8" w14:paraId="7B9B7686" w14:textId="77777777" w:rsidTr="005B7F65">
        <w:tc>
          <w:tcPr>
            <w:tcW w:w="5524" w:type="dxa"/>
          </w:tcPr>
          <w:p w14:paraId="1FB55EA0"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gltA</w:t>
            </w:r>
            <w:r w:rsidRPr="00B97427">
              <w:rPr>
                <w:rFonts w:cstheme="minorHAnsi"/>
                <w:color w:val="000000" w:themeColor="text1"/>
                <w:sz w:val="18"/>
                <w:szCs w:val="18"/>
              </w:rPr>
              <w:t>::</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0BFBE01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methyl citrate synthase in native locus and replaced citrate synthase;</w:t>
            </w:r>
            <w:r w:rsidRPr="008441F8">
              <w:rPr>
                <w:rFonts w:cstheme="minorHAnsi"/>
                <w:color w:val="000000" w:themeColor="text1"/>
                <w:sz w:val="18"/>
                <w:szCs w:val="18"/>
                <w:lang w:val="en-US"/>
              </w:rPr>
              <w:t xml:space="preserve"> with pinosylvin production module</w:t>
            </w:r>
          </w:p>
        </w:tc>
        <w:tc>
          <w:tcPr>
            <w:tcW w:w="2551" w:type="dxa"/>
          </w:tcPr>
          <w:p w14:paraId="58D19705" w14:textId="77777777" w:rsidR="00AE654E" w:rsidRPr="008441F8" w:rsidRDefault="00AE654E" w:rsidP="000165F5">
            <w:pPr>
              <w:keepNext/>
              <w:jc w:val="both"/>
              <w:rPr>
                <w:sz w:val="18"/>
                <w:lang w:val="en-US"/>
              </w:rPr>
            </w:pPr>
            <w:r w:rsidRPr="008441F8">
              <w:rPr>
                <w:sz w:val="18"/>
                <w:lang w:val="en-US"/>
              </w:rPr>
              <w:t>This study; MiKat#367</w:t>
            </w:r>
          </w:p>
        </w:tc>
      </w:tr>
      <w:tr w:rsidR="00AE654E" w:rsidRPr="008441F8" w14:paraId="532995F8" w14:textId="77777777" w:rsidTr="005B7F65">
        <w:tc>
          <w:tcPr>
            <w:tcW w:w="5524" w:type="dxa"/>
          </w:tcPr>
          <w:p w14:paraId="161EFF79"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prpC</w:t>
            </w:r>
            <w:r w:rsidRPr="008441F8">
              <w:rPr>
                <w:rFonts w:cstheme="minorHAnsi"/>
                <w:color w:val="000000" w:themeColor="text1"/>
                <w:sz w:val="18"/>
                <w:szCs w:val="18"/>
                <w:lang w:val="en-US"/>
              </w:rPr>
              <w:t xml:space="preserve"> ∆</w:t>
            </w:r>
            <w:r w:rsidRPr="008441F8">
              <w:rPr>
                <w:rFonts w:cstheme="minorHAnsi"/>
                <w:i/>
                <w:iCs/>
                <w:color w:val="000000" w:themeColor="text1"/>
                <w:sz w:val="18"/>
                <w:szCs w:val="18"/>
                <w:lang w:val="en-US"/>
              </w:rPr>
              <w:t>P</w:t>
            </w:r>
            <w:r w:rsidRPr="008441F8">
              <w:rPr>
                <w:rFonts w:cstheme="minorHAnsi"/>
                <w:i/>
                <w:iCs/>
                <w:color w:val="000000" w:themeColor="text1"/>
                <w:sz w:val="18"/>
                <w:szCs w:val="18"/>
                <w:vertAlign w:val="subscript"/>
                <w:lang w:val="en-US"/>
              </w:rPr>
              <w:t>gltA</w:t>
            </w:r>
            <w:r w:rsidRPr="008441F8">
              <w:rPr>
                <w:rFonts w:cstheme="minorHAnsi"/>
                <w:color w:val="000000" w:themeColor="text1"/>
                <w:sz w:val="18"/>
                <w:szCs w:val="18"/>
                <w:lang w:val="en-US"/>
              </w:rPr>
              <w:t>::</w:t>
            </w:r>
            <w:r w:rsidRPr="008441F8">
              <w:rPr>
                <w:rFonts w:cstheme="minorHAnsi"/>
                <w:i/>
                <w:iCs/>
                <w:color w:val="000000" w:themeColor="text1"/>
                <w:sz w:val="18"/>
                <w:szCs w:val="18"/>
                <w:lang w:val="en-US"/>
              </w:rPr>
              <w:t>P</w:t>
            </w:r>
            <w:r w:rsidRPr="008441F8">
              <w:rPr>
                <w:rFonts w:cstheme="minorHAnsi"/>
                <w:i/>
                <w:iCs/>
                <w:color w:val="000000" w:themeColor="text1"/>
                <w:sz w:val="18"/>
                <w:szCs w:val="18"/>
                <w:vertAlign w:val="subscript"/>
                <w:lang w:val="en-US"/>
              </w:rPr>
              <w:t>14a</w:t>
            </w:r>
            <w:r w:rsidRPr="008441F8">
              <w:rPr>
                <w:rFonts w:cstheme="minorHAnsi"/>
                <w:color w:val="000000" w:themeColor="text1"/>
                <w:sz w:val="18"/>
                <w:szCs w:val="18"/>
                <w:lang w:val="en-US"/>
              </w:rPr>
              <w:t>* ∆</w:t>
            </w:r>
            <w:r w:rsidRPr="008441F8">
              <w:rPr>
                <w:rFonts w:cstheme="minorHAnsi"/>
                <w:i/>
                <w:iCs/>
                <w:color w:val="000000" w:themeColor="text1"/>
                <w:sz w:val="18"/>
                <w:szCs w:val="18"/>
                <w:lang w:val="en-US"/>
              </w:rPr>
              <w:t>gltA</w:t>
            </w:r>
            <w:r w:rsidRPr="008441F8">
              <w:rPr>
                <w:rFonts w:cstheme="minorHAnsi"/>
                <w:color w:val="000000" w:themeColor="text1"/>
                <w:sz w:val="18"/>
                <w:szCs w:val="18"/>
                <w:lang w:val="en-US"/>
              </w:rPr>
              <w:t>::</w:t>
            </w:r>
            <w:r w:rsidRPr="008441F8">
              <w:rPr>
                <w:rFonts w:cstheme="minorHAnsi"/>
                <w:i/>
                <w:iCs/>
                <w:color w:val="000000" w:themeColor="text1"/>
                <w:sz w:val="18"/>
                <w:szCs w:val="18"/>
                <w:lang w:val="en-US"/>
              </w:rPr>
              <w:t>prpC</w:t>
            </w:r>
          </w:p>
        </w:tc>
        <w:tc>
          <w:tcPr>
            <w:tcW w:w="6095" w:type="dxa"/>
          </w:tcPr>
          <w:p w14:paraId="3E3B841F"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exchanged promoter of citrate synthase; deleted methyl citrate synthase in native locus and replaced citrate synthase</w:t>
            </w:r>
          </w:p>
        </w:tc>
        <w:tc>
          <w:tcPr>
            <w:tcW w:w="2551" w:type="dxa"/>
          </w:tcPr>
          <w:p w14:paraId="0C4877D3" w14:textId="77777777" w:rsidR="00AE654E" w:rsidRPr="008441F8" w:rsidRDefault="00AE654E" w:rsidP="000165F5">
            <w:pPr>
              <w:keepNext/>
              <w:jc w:val="both"/>
              <w:rPr>
                <w:sz w:val="18"/>
                <w:lang w:val="en-US"/>
              </w:rPr>
            </w:pPr>
            <w:r w:rsidRPr="008441F8">
              <w:rPr>
                <w:sz w:val="18"/>
                <w:lang w:val="en-US"/>
              </w:rPr>
              <w:t>This study; MiKat#518</w:t>
            </w:r>
          </w:p>
        </w:tc>
      </w:tr>
      <w:tr w:rsidR="00AE654E" w:rsidRPr="008441F8" w14:paraId="17CEF30E" w14:textId="77777777" w:rsidTr="005B7F65">
        <w:tc>
          <w:tcPr>
            <w:tcW w:w="5524" w:type="dxa"/>
          </w:tcPr>
          <w:p w14:paraId="7D6B2D65"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color w:val="000000" w:themeColor="text1"/>
                <w:sz w:val="18"/>
                <w:szCs w:val="18"/>
              </w:rPr>
              <w:t>* ∆</w:t>
            </w:r>
            <w:r w:rsidRPr="00B97427">
              <w:rPr>
                <w:rFonts w:cstheme="minorHAnsi"/>
                <w:i/>
                <w:iCs/>
                <w:color w:val="000000" w:themeColor="text1"/>
                <w:sz w:val="18"/>
                <w:szCs w:val="18"/>
              </w:rPr>
              <w:t>gltA</w:t>
            </w:r>
            <w:r w:rsidRPr="00B97427">
              <w:rPr>
                <w:rFonts w:cstheme="minorHAnsi"/>
                <w:color w:val="000000" w:themeColor="text1"/>
                <w:sz w:val="18"/>
                <w:szCs w:val="18"/>
              </w:rPr>
              <w:t>::</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13B987E3"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Phenylalanine platform strain; exchanged promoter of citrate synthase; deleted methyl citrate synthase in native locus and replaced citrate synthase; </w:t>
            </w:r>
            <w:r w:rsidRPr="008441F8">
              <w:rPr>
                <w:rFonts w:cstheme="minorHAnsi"/>
                <w:color w:val="000000" w:themeColor="text1"/>
                <w:sz w:val="18"/>
                <w:szCs w:val="18"/>
                <w:lang w:val="en-US"/>
              </w:rPr>
              <w:t>with pinosylvin production module</w:t>
            </w:r>
          </w:p>
        </w:tc>
        <w:tc>
          <w:tcPr>
            <w:tcW w:w="2551" w:type="dxa"/>
          </w:tcPr>
          <w:p w14:paraId="4F9EBD3F" w14:textId="77777777" w:rsidR="00AE654E" w:rsidRPr="008441F8" w:rsidRDefault="00AE654E" w:rsidP="000165F5">
            <w:pPr>
              <w:keepNext/>
              <w:jc w:val="both"/>
              <w:rPr>
                <w:sz w:val="18"/>
                <w:lang w:val="en-US"/>
              </w:rPr>
            </w:pPr>
            <w:r w:rsidRPr="008441F8">
              <w:rPr>
                <w:sz w:val="18"/>
                <w:lang w:val="en-US"/>
              </w:rPr>
              <w:t>This study; MiKat#527</w:t>
            </w:r>
          </w:p>
        </w:tc>
      </w:tr>
      <w:tr w:rsidR="00AE654E" w:rsidRPr="008441F8" w14:paraId="5CF18D3A" w14:textId="77777777" w:rsidTr="005B7F65">
        <w:tc>
          <w:tcPr>
            <w:tcW w:w="5524" w:type="dxa"/>
          </w:tcPr>
          <w:p w14:paraId="794F1967"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PHE ∆</w:t>
            </w:r>
            <w:r w:rsidRPr="008441F8">
              <w:rPr>
                <w:rFonts w:cstheme="minorHAnsi"/>
                <w:i/>
                <w:iCs/>
                <w:color w:val="000000" w:themeColor="text1"/>
                <w:sz w:val="18"/>
                <w:szCs w:val="18"/>
                <w:lang w:val="en-US"/>
              </w:rPr>
              <w:t>pycAB</w:t>
            </w:r>
          </w:p>
        </w:tc>
        <w:tc>
          <w:tcPr>
            <w:tcW w:w="6095" w:type="dxa"/>
          </w:tcPr>
          <w:p w14:paraId="6A8E82E5"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pyruvate decarboxylase (PVLB_25325-30)</w:t>
            </w:r>
          </w:p>
        </w:tc>
        <w:tc>
          <w:tcPr>
            <w:tcW w:w="2551" w:type="dxa"/>
          </w:tcPr>
          <w:p w14:paraId="78407C68" w14:textId="77777777" w:rsidR="00AE654E" w:rsidRPr="008441F8" w:rsidRDefault="00AE654E" w:rsidP="000165F5">
            <w:pPr>
              <w:keepNext/>
              <w:jc w:val="both"/>
              <w:rPr>
                <w:sz w:val="18"/>
                <w:lang w:val="en-US"/>
              </w:rPr>
            </w:pPr>
            <w:r w:rsidRPr="008441F8">
              <w:rPr>
                <w:sz w:val="18"/>
                <w:lang w:val="en-US"/>
              </w:rPr>
              <w:t>This study; MiKat#368</w:t>
            </w:r>
          </w:p>
        </w:tc>
      </w:tr>
      <w:tr w:rsidR="00AE654E" w:rsidRPr="008441F8" w14:paraId="71D588A0" w14:textId="77777777" w:rsidTr="005B7F65">
        <w:tc>
          <w:tcPr>
            <w:tcW w:w="5524" w:type="dxa"/>
          </w:tcPr>
          <w:p w14:paraId="39C3D631"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pycAB</w:t>
            </w:r>
            <w:r w:rsidRPr="00B97427">
              <w:rPr>
                <w:rFonts w:cstheme="minorHAnsi"/>
                <w:color w:val="000000" w:themeColor="text1"/>
                <w:sz w:val="18"/>
                <w:szCs w:val="18"/>
              </w:rPr>
              <w:t xml:space="preserve">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28FCF3C3"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Phenylalanine platform strain; deleted pyruvate decarboxylase (PVLB_25325-30); </w:t>
            </w:r>
            <w:r w:rsidRPr="008441F8">
              <w:rPr>
                <w:rFonts w:cstheme="minorHAnsi"/>
                <w:color w:val="000000" w:themeColor="text1"/>
                <w:sz w:val="18"/>
                <w:szCs w:val="18"/>
                <w:lang w:val="en-US"/>
              </w:rPr>
              <w:t>with pinosylvin production module</w:t>
            </w:r>
          </w:p>
        </w:tc>
        <w:tc>
          <w:tcPr>
            <w:tcW w:w="2551" w:type="dxa"/>
          </w:tcPr>
          <w:p w14:paraId="0B205124" w14:textId="77777777" w:rsidR="00AE654E" w:rsidRPr="008441F8" w:rsidRDefault="00AE654E" w:rsidP="000165F5">
            <w:pPr>
              <w:keepNext/>
              <w:jc w:val="both"/>
              <w:rPr>
                <w:sz w:val="18"/>
                <w:lang w:val="en-US"/>
              </w:rPr>
            </w:pPr>
            <w:r w:rsidRPr="008441F8">
              <w:rPr>
                <w:sz w:val="18"/>
                <w:lang w:val="en-US"/>
              </w:rPr>
              <w:t>This study; MiKat#385</w:t>
            </w:r>
          </w:p>
        </w:tc>
      </w:tr>
      <w:tr w:rsidR="00AE654E" w:rsidRPr="008441F8" w14:paraId="3F2B61CC" w14:textId="77777777" w:rsidTr="005B7F65">
        <w:tc>
          <w:tcPr>
            <w:tcW w:w="5524" w:type="dxa"/>
          </w:tcPr>
          <w:p w14:paraId="27E744F5"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gltA</w:t>
            </w:r>
            <w:r w:rsidRPr="00B97427">
              <w:rPr>
                <w:rFonts w:cstheme="minorHAnsi"/>
                <w:color w:val="000000" w:themeColor="text1"/>
                <w:sz w:val="18"/>
                <w:szCs w:val="18"/>
              </w:rPr>
              <w:t>::</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pycAB</w:t>
            </w:r>
          </w:p>
        </w:tc>
        <w:tc>
          <w:tcPr>
            <w:tcW w:w="6095" w:type="dxa"/>
          </w:tcPr>
          <w:p w14:paraId="6E4D34F5"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methyl citrate synthase in native locus and replaced citrate synthase, deleted pyruvate decarboxylase (PVLB_25325-30)</w:t>
            </w:r>
          </w:p>
        </w:tc>
        <w:tc>
          <w:tcPr>
            <w:tcW w:w="2551" w:type="dxa"/>
          </w:tcPr>
          <w:p w14:paraId="22F57F8F" w14:textId="77777777" w:rsidR="00AE654E" w:rsidRPr="008441F8" w:rsidRDefault="00AE654E" w:rsidP="000165F5">
            <w:pPr>
              <w:keepNext/>
              <w:jc w:val="both"/>
              <w:rPr>
                <w:sz w:val="18"/>
                <w:lang w:val="en-US"/>
              </w:rPr>
            </w:pPr>
            <w:r w:rsidRPr="008441F8">
              <w:rPr>
                <w:sz w:val="18"/>
                <w:lang w:val="en-US"/>
              </w:rPr>
              <w:t>This study; MiKat#370</w:t>
            </w:r>
          </w:p>
        </w:tc>
      </w:tr>
      <w:tr w:rsidR="00AE654E" w:rsidRPr="008441F8" w14:paraId="3D9BAF34" w14:textId="77777777" w:rsidTr="005B7F65">
        <w:tc>
          <w:tcPr>
            <w:tcW w:w="5524" w:type="dxa"/>
          </w:tcPr>
          <w:p w14:paraId="7E53A892"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gltA</w:t>
            </w:r>
            <w:r w:rsidRPr="00B97427">
              <w:rPr>
                <w:rFonts w:cstheme="minorHAnsi"/>
                <w:color w:val="000000" w:themeColor="text1"/>
                <w:sz w:val="18"/>
                <w:szCs w:val="18"/>
              </w:rPr>
              <w:t>::</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pycAB</w:t>
            </w:r>
            <w:r w:rsidRPr="00B97427">
              <w:rPr>
                <w:rFonts w:cstheme="minorHAnsi"/>
                <w:i/>
                <w:color w:val="000000" w:themeColor="text1"/>
                <w:sz w:val="18"/>
                <w:szCs w:val="18"/>
              </w:rPr>
              <w:t xml:space="preserve"> 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6A76E498"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deleted methyl citrate synthase in native locus and replaced citrate synthase, deleted pyruvate decarboxylase (PVLB_25325-30);</w:t>
            </w:r>
            <w:r w:rsidRPr="008441F8">
              <w:rPr>
                <w:rFonts w:cstheme="minorHAnsi"/>
                <w:color w:val="000000" w:themeColor="text1"/>
                <w:sz w:val="18"/>
                <w:szCs w:val="18"/>
                <w:lang w:val="en-US"/>
              </w:rPr>
              <w:t xml:space="preserve"> with pinosylvin production module</w:t>
            </w:r>
          </w:p>
        </w:tc>
        <w:tc>
          <w:tcPr>
            <w:tcW w:w="2551" w:type="dxa"/>
          </w:tcPr>
          <w:p w14:paraId="6E2C8949" w14:textId="77777777" w:rsidR="00AE654E" w:rsidRPr="008441F8" w:rsidRDefault="00AE654E" w:rsidP="000165F5">
            <w:pPr>
              <w:keepNext/>
              <w:jc w:val="both"/>
              <w:rPr>
                <w:sz w:val="18"/>
                <w:lang w:val="en-US"/>
              </w:rPr>
            </w:pPr>
            <w:r w:rsidRPr="008441F8">
              <w:rPr>
                <w:sz w:val="18"/>
                <w:lang w:val="en-US"/>
              </w:rPr>
              <w:t>This study; MiKat#387</w:t>
            </w:r>
          </w:p>
        </w:tc>
      </w:tr>
      <w:tr w:rsidR="00AE654E" w:rsidRPr="008441F8" w14:paraId="3D87E8A1" w14:textId="77777777" w:rsidTr="005B7F65">
        <w:tc>
          <w:tcPr>
            <w:tcW w:w="5524" w:type="dxa"/>
          </w:tcPr>
          <w:p w14:paraId="189D3722"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color w:val="000000" w:themeColor="text1"/>
                <w:sz w:val="18"/>
                <w:szCs w:val="18"/>
              </w:rPr>
              <w:t>* ∆</w:t>
            </w:r>
            <w:r w:rsidRPr="00B97427">
              <w:rPr>
                <w:rFonts w:cstheme="minorHAnsi"/>
                <w:i/>
                <w:iCs/>
                <w:color w:val="000000" w:themeColor="text1"/>
                <w:sz w:val="18"/>
                <w:szCs w:val="18"/>
              </w:rPr>
              <w:t>gltA</w:t>
            </w:r>
            <w:r w:rsidRPr="00B97427">
              <w:rPr>
                <w:rFonts w:cstheme="minorHAnsi"/>
                <w:color w:val="000000" w:themeColor="text1"/>
                <w:sz w:val="18"/>
                <w:szCs w:val="18"/>
              </w:rPr>
              <w:t>::</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pycAB</w:t>
            </w:r>
          </w:p>
        </w:tc>
        <w:tc>
          <w:tcPr>
            <w:tcW w:w="6095" w:type="dxa"/>
          </w:tcPr>
          <w:p w14:paraId="6258D3A3"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Phenylalanine platform strain; exchanged promoter of citrate synthase; deleted methyl citrate synthase in native locus and replaced citrate synthase, deleted pyruvate decarboxylase (PVLB_25325-30)</w:t>
            </w:r>
          </w:p>
        </w:tc>
        <w:tc>
          <w:tcPr>
            <w:tcW w:w="2551" w:type="dxa"/>
          </w:tcPr>
          <w:p w14:paraId="04BC0E94" w14:textId="77777777" w:rsidR="00AE654E" w:rsidRPr="008441F8" w:rsidRDefault="00AE654E" w:rsidP="000165F5">
            <w:pPr>
              <w:keepNext/>
              <w:jc w:val="both"/>
              <w:rPr>
                <w:sz w:val="18"/>
                <w:lang w:val="en-US"/>
              </w:rPr>
            </w:pPr>
            <w:r w:rsidRPr="008441F8">
              <w:rPr>
                <w:sz w:val="18"/>
                <w:lang w:val="en-US"/>
              </w:rPr>
              <w:t>This study; MiKat#519</w:t>
            </w:r>
          </w:p>
        </w:tc>
      </w:tr>
      <w:tr w:rsidR="00AE654E" w:rsidRPr="008441F8" w14:paraId="5B0B0D5C" w14:textId="77777777" w:rsidTr="005B7F65">
        <w:tc>
          <w:tcPr>
            <w:tcW w:w="5524" w:type="dxa"/>
          </w:tcPr>
          <w:p w14:paraId="21F4506A"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B97427">
              <w:rPr>
                <w:rFonts w:cstheme="minorHAnsi"/>
                <w:color w:val="000000" w:themeColor="text1"/>
                <w:sz w:val="18"/>
                <w:szCs w:val="18"/>
              </w:rPr>
              <w:t>PHE ∆</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color w:val="000000" w:themeColor="text1"/>
                <w:sz w:val="18"/>
                <w:szCs w:val="18"/>
              </w:rPr>
              <w:t>* ∆</w:t>
            </w:r>
            <w:r w:rsidRPr="00B97427">
              <w:rPr>
                <w:rFonts w:cstheme="minorHAnsi"/>
                <w:i/>
                <w:iCs/>
                <w:color w:val="000000" w:themeColor="text1"/>
                <w:sz w:val="18"/>
                <w:szCs w:val="18"/>
              </w:rPr>
              <w:t>gltA</w:t>
            </w:r>
            <w:r w:rsidRPr="00B97427">
              <w:rPr>
                <w:rFonts w:cstheme="minorHAnsi"/>
                <w:color w:val="000000" w:themeColor="text1"/>
                <w:sz w:val="18"/>
                <w:szCs w:val="18"/>
              </w:rPr>
              <w:t>::</w:t>
            </w:r>
            <w:r w:rsidRPr="00B97427">
              <w:rPr>
                <w:rFonts w:cstheme="minorHAnsi"/>
                <w:i/>
                <w:iCs/>
                <w:color w:val="000000" w:themeColor="text1"/>
                <w:sz w:val="18"/>
                <w:szCs w:val="18"/>
              </w:rPr>
              <w:t>prpC</w:t>
            </w:r>
            <w:r w:rsidRPr="00B97427">
              <w:rPr>
                <w:rFonts w:cstheme="minorHAnsi"/>
                <w:color w:val="000000" w:themeColor="text1"/>
                <w:sz w:val="18"/>
                <w:szCs w:val="18"/>
              </w:rPr>
              <w:t xml:space="preserve"> ∆</w:t>
            </w:r>
            <w:r w:rsidRPr="00B97427">
              <w:rPr>
                <w:rFonts w:cstheme="minorHAnsi"/>
                <w:i/>
                <w:iCs/>
                <w:color w:val="000000" w:themeColor="text1"/>
                <w:sz w:val="18"/>
                <w:szCs w:val="18"/>
              </w:rPr>
              <w:t>pycAB</w:t>
            </w:r>
            <w:r w:rsidRPr="00B97427">
              <w:rPr>
                <w:rFonts w:cstheme="minorHAnsi"/>
                <w:color w:val="000000" w:themeColor="text1"/>
                <w:sz w:val="18"/>
                <w:szCs w:val="18"/>
              </w:rPr>
              <w:t xml:space="preserve"> </w:t>
            </w:r>
            <w:r w:rsidRPr="00B97427">
              <w:rPr>
                <w:rFonts w:cstheme="minorHAnsi"/>
                <w:i/>
                <w:color w:val="000000" w:themeColor="text1"/>
                <w:sz w:val="18"/>
                <w:szCs w:val="18"/>
              </w:rPr>
              <w:t>attTn7::P</w:t>
            </w:r>
            <w:r w:rsidRPr="00B97427">
              <w:rPr>
                <w:rFonts w:cstheme="minorHAnsi"/>
                <w:i/>
                <w:color w:val="000000" w:themeColor="text1"/>
                <w:sz w:val="18"/>
                <w:szCs w:val="18"/>
                <w:vertAlign w:val="subscript"/>
              </w:rPr>
              <w:t>14g</w:t>
            </w:r>
            <w:r w:rsidRPr="00B97427">
              <w:rPr>
                <w:rFonts w:cstheme="minorHAnsi"/>
                <w:i/>
                <w:color w:val="000000" w:themeColor="text1"/>
                <w:sz w:val="18"/>
                <w:szCs w:val="18"/>
              </w:rPr>
              <w:t>-his.AhSTS-Sc4CL</w:t>
            </w:r>
            <w:r w:rsidRPr="00B97427">
              <w:rPr>
                <w:rFonts w:cstheme="minorHAnsi"/>
                <w:i/>
                <w:color w:val="000000" w:themeColor="text1"/>
                <w:sz w:val="18"/>
                <w:szCs w:val="18"/>
                <w:vertAlign w:val="superscript"/>
              </w:rPr>
              <w:t>A294G</w:t>
            </w:r>
            <w:r w:rsidRPr="00B97427">
              <w:rPr>
                <w:rFonts w:cstheme="minorHAnsi"/>
                <w:i/>
                <w:color w:val="000000" w:themeColor="text1"/>
                <w:sz w:val="18"/>
                <w:szCs w:val="18"/>
              </w:rPr>
              <w:t>-AtPAL2</w:t>
            </w:r>
          </w:p>
        </w:tc>
        <w:tc>
          <w:tcPr>
            <w:tcW w:w="6095" w:type="dxa"/>
          </w:tcPr>
          <w:p w14:paraId="34BDC9E0"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Phenylalanine platform strain; exchanged promoter of citrate synthase; deleted methyl citrate synthase in native locus and replaced citrate synthase, deleted pyruvate decarboxylase (PVLB_25325-30); </w:t>
            </w:r>
            <w:r w:rsidRPr="008441F8">
              <w:rPr>
                <w:rFonts w:cstheme="minorHAnsi"/>
                <w:color w:val="000000" w:themeColor="text1"/>
                <w:sz w:val="18"/>
                <w:szCs w:val="18"/>
                <w:lang w:val="en-US"/>
              </w:rPr>
              <w:t>with pinosylvin production module</w:t>
            </w:r>
          </w:p>
        </w:tc>
        <w:tc>
          <w:tcPr>
            <w:tcW w:w="2551" w:type="dxa"/>
          </w:tcPr>
          <w:p w14:paraId="6FF66845" w14:textId="77777777" w:rsidR="00AE654E" w:rsidRPr="008441F8" w:rsidRDefault="00AE654E" w:rsidP="000165F5">
            <w:pPr>
              <w:keepNext/>
              <w:jc w:val="both"/>
              <w:rPr>
                <w:sz w:val="18"/>
                <w:lang w:val="en-US"/>
              </w:rPr>
            </w:pPr>
            <w:r w:rsidRPr="008441F8">
              <w:rPr>
                <w:sz w:val="18"/>
                <w:lang w:val="en-US"/>
              </w:rPr>
              <w:t>This study; MiKat#528</w:t>
            </w:r>
          </w:p>
        </w:tc>
      </w:tr>
      <w:tr w:rsidR="00AE654E" w:rsidRPr="008441F8" w14:paraId="40F487D7" w14:textId="77777777" w:rsidTr="005B7F65">
        <w:tc>
          <w:tcPr>
            <w:tcW w:w="5524" w:type="dxa"/>
          </w:tcPr>
          <w:p w14:paraId="520C6AA5"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Δ5</w:t>
            </w:r>
          </w:p>
        </w:tc>
        <w:tc>
          <w:tcPr>
            <w:tcW w:w="6095" w:type="dxa"/>
          </w:tcPr>
          <w:p w14:paraId="41642F2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GRC3 derivative incapable of growing on 4-hydroxybenzoate, tyrosine and quinate (</w:t>
            </w:r>
            <w:r w:rsidRPr="008441F8">
              <w:rPr>
                <w:sz w:val="18"/>
                <w:szCs w:val="18"/>
                <w:lang w:val="en-US"/>
              </w:rPr>
              <w:t>∆</w:t>
            </w:r>
            <w:r w:rsidRPr="008441F8">
              <w:rPr>
                <w:i/>
                <w:sz w:val="18"/>
                <w:szCs w:val="18"/>
                <w:lang w:val="en-US"/>
              </w:rPr>
              <w:t>pobA</w:t>
            </w:r>
            <w:r w:rsidRPr="008441F8">
              <w:rPr>
                <w:sz w:val="18"/>
                <w:szCs w:val="18"/>
                <w:lang w:val="en-US"/>
              </w:rPr>
              <w:t>∆</w:t>
            </w:r>
            <w:r w:rsidRPr="008441F8">
              <w:rPr>
                <w:i/>
                <w:sz w:val="18"/>
                <w:szCs w:val="18"/>
                <w:lang w:val="en-US"/>
              </w:rPr>
              <w:t>hpd</w:t>
            </w:r>
            <w:r w:rsidRPr="008441F8">
              <w:rPr>
                <w:sz w:val="18"/>
                <w:szCs w:val="18"/>
                <w:lang w:val="en-US"/>
              </w:rPr>
              <w:t>∆</w:t>
            </w:r>
            <w:r w:rsidRPr="008441F8">
              <w:rPr>
                <w:i/>
                <w:sz w:val="18"/>
                <w:szCs w:val="18"/>
                <w:lang w:val="en-US"/>
              </w:rPr>
              <w:t>quiC</w:t>
            </w:r>
            <w:r w:rsidRPr="008441F8">
              <w:rPr>
                <w:sz w:val="18"/>
                <w:szCs w:val="18"/>
                <w:lang w:val="en-US"/>
              </w:rPr>
              <w:t>∆</w:t>
            </w:r>
            <w:r w:rsidRPr="008441F8">
              <w:rPr>
                <w:i/>
                <w:sz w:val="18"/>
                <w:szCs w:val="18"/>
                <w:lang w:val="en-US"/>
              </w:rPr>
              <w:t>quiC1</w:t>
            </w:r>
            <w:r w:rsidRPr="008441F8">
              <w:rPr>
                <w:sz w:val="18"/>
                <w:szCs w:val="18"/>
                <w:lang w:val="en-US"/>
              </w:rPr>
              <w:t>∆</w:t>
            </w:r>
            <w:r w:rsidRPr="008441F8">
              <w:rPr>
                <w:i/>
                <w:sz w:val="18"/>
                <w:szCs w:val="18"/>
                <w:lang w:val="en-US"/>
              </w:rPr>
              <w:t>quiC2</w:t>
            </w:r>
            <w:r w:rsidRPr="008441F8">
              <w:rPr>
                <w:sz w:val="18"/>
                <w:szCs w:val="18"/>
                <w:lang w:val="en-US"/>
              </w:rPr>
              <w:t>)</w:t>
            </w:r>
          </w:p>
        </w:tc>
        <w:tc>
          <w:tcPr>
            <w:tcW w:w="2551" w:type="dxa"/>
          </w:tcPr>
          <w:p w14:paraId="3B72DF7D" w14:textId="77777777" w:rsidR="00AE654E" w:rsidRPr="008441F8" w:rsidRDefault="00AE654E" w:rsidP="000165F5">
            <w:pPr>
              <w:keepNext/>
              <w:jc w:val="both"/>
              <w:rPr>
                <w:sz w:val="18"/>
                <w:lang w:val="en-US"/>
              </w:rPr>
            </w:pPr>
            <w:r w:rsidRPr="008441F8">
              <w:rPr>
                <w:sz w:val="18"/>
                <w:lang w:val="en-US"/>
              </w:rPr>
              <w:t>This study; MiKat#376</w:t>
            </w:r>
          </w:p>
        </w:tc>
      </w:tr>
      <w:tr w:rsidR="00AE654E" w:rsidRPr="008441F8" w14:paraId="0DAE2ADA" w14:textId="77777777" w:rsidTr="005B7F65">
        <w:tc>
          <w:tcPr>
            <w:tcW w:w="5524" w:type="dxa"/>
          </w:tcPr>
          <w:p w14:paraId="000C1D40"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Δ6</w:t>
            </w:r>
          </w:p>
        </w:tc>
        <w:tc>
          <w:tcPr>
            <w:tcW w:w="6095" w:type="dxa"/>
          </w:tcPr>
          <w:p w14:paraId="6BCAC111"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deleted </w:t>
            </w:r>
            <w:r w:rsidRPr="008441F8">
              <w:rPr>
                <w:rFonts w:cs="Times New Roman"/>
                <w:i/>
                <w:iCs/>
                <w:color w:val="000000" w:themeColor="text1"/>
                <w:sz w:val="18"/>
                <w:szCs w:val="18"/>
                <w:lang w:val="en-US"/>
              </w:rPr>
              <w:t>benABCD</w:t>
            </w:r>
            <w:r w:rsidRPr="008441F8">
              <w:rPr>
                <w:rFonts w:cs="Times New Roman"/>
                <w:color w:val="000000" w:themeColor="text1"/>
                <w:sz w:val="18"/>
                <w:szCs w:val="18"/>
                <w:lang w:val="en-US"/>
              </w:rPr>
              <w:t xml:space="preserve"> in GRC3</w:t>
            </w:r>
            <w:r w:rsidRPr="008441F8">
              <w:rPr>
                <w:rFonts w:cstheme="minorHAnsi"/>
                <w:color w:val="000000" w:themeColor="text1"/>
                <w:sz w:val="18"/>
                <w:szCs w:val="18"/>
                <w:lang w:val="en-US"/>
              </w:rPr>
              <w:t xml:space="preserve"> Δ5</w:t>
            </w:r>
          </w:p>
        </w:tc>
        <w:tc>
          <w:tcPr>
            <w:tcW w:w="2551" w:type="dxa"/>
          </w:tcPr>
          <w:p w14:paraId="5C5D9872" w14:textId="77777777" w:rsidR="00AE654E" w:rsidRPr="008441F8" w:rsidRDefault="00AE654E" w:rsidP="000165F5">
            <w:pPr>
              <w:keepNext/>
              <w:jc w:val="both"/>
              <w:rPr>
                <w:sz w:val="18"/>
                <w:lang w:val="en-US"/>
              </w:rPr>
            </w:pPr>
            <w:r w:rsidRPr="008441F8">
              <w:rPr>
                <w:sz w:val="18"/>
                <w:lang w:val="en-US"/>
              </w:rPr>
              <w:t>This study; MiKat#382</w:t>
            </w:r>
          </w:p>
        </w:tc>
      </w:tr>
      <w:tr w:rsidR="00AE654E" w:rsidRPr="008441F8" w14:paraId="3C18C359" w14:textId="77777777" w:rsidTr="005B7F65">
        <w:tc>
          <w:tcPr>
            <w:tcW w:w="5524" w:type="dxa"/>
          </w:tcPr>
          <w:p w14:paraId="6DAEB413"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623F36A9"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with 1,3,6,8-tetrahydroxynaphthalene synthase SgRppA for flaviolin synthesis</w:t>
            </w:r>
            <w:r w:rsidRPr="008441F8">
              <w:rPr>
                <w:lang w:val="en-US"/>
              </w:rPr>
              <w:t xml:space="preserve"> </w:t>
            </w:r>
            <w:r w:rsidRPr="008441F8">
              <w:rPr>
                <w:rFonts w:cs="Times New Roman"/>
                <w:color w:val="000000" w:themeColor="text1"/>
                <w:sz w:val="18"/>
                <w:szCs w:val="18"/>
                <w:lang w:val="en-US"/>
              </w:rPr>
              <w:t>without resistance marker</w:t>
            </w:r>
          </w:p>
        </w:tc>
        <w:tc>
          <w:tcPr>
            <w:tcW w:w="2551" w:type="dxa"/>
          </w:tcPr>
          <w:p w14:paraId="2E20D1AE" w14:textId="77777777" w:rsidR="00AE654E" w:rsidRPr="008441F8" w:rsidRDefault="00AE654E" w:rsidP="000165F5">
            <w:pPr>
              <w:keepNext/>
              <w:jc w:val="both"/>
              <w:rPr>
                <w:sz w:val="18"/>
                <w:lang w:val="en-US"/>
              </w:rPr>
            </w:pPr>
            <w:r w:rsidRPr="008441F8">
              <w:rPr>
                <w:sz w:val="18"/>
                <w:lang w:val="en-US"/>
              </w:rPr>
              <w:t>This study; MiKat#546</w:t>
            </w:r>
          </w:p>
        </w:tc>
      </w:tr>
      <w:tr w:rsidR="00AE654E" w:rsidRPr="008441F8" w14:paraId="581AA581" w14:textId="77777777" w:rsidTr="005B7F65">
        <w:tc>
          <w:tcPr>
            <w:tcW w:w="5524" w:type="dxa"/>
          </w:tcPr>
          <w:p w14:paraId="1D0AFD95"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49AF0536"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Deleted gcd in flaviolin producer</w:t>
            </w:r>
          </w:p>
        </w:tc>
        <w:tc>
          <w:tcPr>
            <w:tcW w:w="2551" w:type="dxa"/>
          </w:tcPr>
          <w:p w14:paraId="5A67B86A" w14:textId="77777777" w:rsidR="00AE654E" w:rsidRPr="008441F8" w:rsidRDefault="00AE654E" w:rsidP="000165F5">
            <w:pPr>
              <w:keepNext/>
              <w:jc w:val="both"/>
              <w:rPr>
                <w:sz w:val="18"/>
                <w:lang w:val="en-US"/>
              </w:rPr>
            </w:pPr>
            <w:r w:rsidRPr="008441F8">
              <w:rPr>
                <w:sz w:val="18"/>
                <w:lang w:val="en-US"/>
              </w:rPr>
              <w:t>This study; MiKat#668</w:t>
            </w:r>
          </w:p>
        </w:tc>
      </w:tr>
      <w:tr w:rsidR="00AE654E" w:rsidRPr="008441F8" w14:paraId="3D37E1DC" w14:textId="77777777" w:rsidTr="005B7F65">
        <w:tc>
          <w:tcPr>
            <w:tcW w:w="5524" w:type="dxa"/>
          </w:tcPr>
          <w:p w14:paraId="114C2E64"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color w:val="000000" w:themeColor="text1"/>
                <w:sz w:val="18"/>
                <w:szCs w:val="18"/>
              </w:rPr>
              <w:t xml:space="preserve">*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329C74B7"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Exchanged promoter of citrate synthase in flaviolin producer</w:t>
            </w:r>
          </w:p>
        </w:tc>
        <w:tc>
          <w:tcPr>
            <w:tcW w:w="2551" w:type="dxa"/>
          </w:tcPr>
          <w:p w14:paraId="373667C6" w14:textId="77777777" w:rsidR="00AE654E" w:rsidRPr="008441F8" w:rsidRDefault="00AE654E" w:rsidP="000165F5">
            <w:pPr>
              <w:keepNext/>
              <w:jc w:val="both"/>
              <w:rPr>
                <w:sz w:val="18"/>
                <w:lang w:val="en-US"/>
              </w:rPr>
            </w:pPr>
            <w:r w:rsidRPr="008441F8">
              <w:rPr>
                <w:sz w:val="18"/>
                <w:lang w:val="en-US"/>
              </w:rPr>
              <w:t>This study; MiKat#691</w:t>
            </w:r>
          </w:p>
        </w:tc>
      </w:tr>
      <w:tr w:rsidR="00AE654E" w:rsidRPr="008441F8" w14:paraId="68F7B82C" w14:textId="77777777" w:rsidTr="005B7F65">
        <w:tc>
          <w:tcPr>
            <w:tcW w:w="5524" w:type="dxa"/>
          </w:tcPr>
          <w:p w14:paraId="23E080FA"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i/>
                <w:iCs/>
                <w:color w:val="000000" w:themeColor="text1"/>
                <w:sz w:val="18"/>
                <w:szCs w:val="18"/>
              </w:rPr>
              <w:t>*</w:t>
            </w:r>
            <w:r w:rsidRPr="00B97427">
              <w:rPr>
                <w:rFonts w:cstheme="minorHAnsi"/>
                <w:color w:val="000000" w:themeColor="text1"/>
                <w:sz w:val="18"/>
                <w:szCs w:val="18"/>
              </w:rPr>
              <w:t xml:space="preserve"> PVLB_23545-40::</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14f</w:t>
            </w:r>
            <w:r w:rsidRPr="00B97427">
              <w:rPr>
                <w:rFonts w:cstheme="minorHAnsi"/>
                <w:color w:val="000000" w:themeColor="text1"/>
                <w:sz w:val="18"/>
                <w:szCs w:val="18"/>
              </w:rPr>
              <w:t>-</w:t>
            </w:r>
            <w:r w:rsidRPr="00B97427">
              <w:rPr>
                <w:rFonts w:cstheme="minorHAnsi"/>
                <w:i/>
                <w:color w:val="000000" w:themeColor="text1"/>
                <w:sz w:val="18"/>
                <w:szCs w:val="18"/>
              </w:rPr>
              <w:t>Cg_accBC-Cg_accD1</w:t>
            </w:r>
            <w:r w:rsidRPr="00B97427">
              <w:rPr>
                <w:rFonts w:cstheme="minorHAnsi"/>
                <w:color w:val="000000" w:themeColor="text1"/>
                <w:sz w:val="18"/>
                <w:szCs w:val="18"/>
              </w:rPr>
              <w:t xml:space="preserve">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76C0B84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Integration of ACC from </w:t>
            </w:r>
            <w:r w:rsidRPr="008441F8">
              <w:rPr>
                <w:rFonts w:cs="Times New Roman"/>
                <w:i/>
                <w:color w:val="000000" w:themeColor="text1"/>
                <w:sz w:val="18"/>
                <w:szCs w:val="18"/>
                <w:lang w:val="en-US"/>
              </w:rPr>
              <w:t xml:space="preserve">C. glutamicum </w:t>
            </w:r>
            <w:r w:rsidRPr="008441F8">
              <w:rPr>
                <w:rFonts w:cs="Times New Roman"/>
                <w:color w:val="000000" w:themeColor="text1"/>
                <w:sz w:val="18"/>
                <w:szCs w:val="18"/>
                <w:lang w:val="en-US"/>
              </w:rPr>
              <w:t>in flaviolin producer</w:t>
            </w:r>
          </w:p>
        </w:tc>
        <w:tc>
          <w:tcPr>
            <w:tcW w:w="2551" w:type="dxa"/>
          </w:tcPr>
          <w:p w14:paraId="5A6B7F19" w14:textId="77777777" w:rsidR="00AE654E" w:rsidRPr="008441F8" w:rsidRDefault="00AE654E" w:rsidP="000165F5">
            <w:pPr>
              <w:keepNext/>
              <w:jc w:val="both"/>
              <w:rPr>
                <w:sz w:val="18"/>
                <w:lang w:val="en-US"/>
              </w:rPr>
            </w:pPr>
            <w:r w:rsidRPr="008441F8">
              <w:rPr>
                <w:sz w:val="18"/>
                <w:lang w:val="en-US"/>
              </w:rPr>
              <w:t>This study; MiKat#801</w:t>
            </w:r>
          </w:p>
        </w:tc>
      </w:tr>
      <w:tr w:rsidR="00AE654E" w:rsidRPr="008441F8" w14:paraId="4746B4FF" w14:textId="77777777" w:rsidTr="005B7F65">
        <w:tc>
          <w:tcPr>
            <w:tcW w:w="5524" w:type="dxa"/>
          </w:tcPr>
          <w:p w14:paraId="026164E0"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color w:val="000000" w:themeColor="text1"/>
                <w:sz w:val="18"/>
                <w:szCs w:val="18"/>
              </w:rPr>
              <w:t>* PVLB_23545-40::</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14f</w:t>
            </w:r>
            <w:r w:rsidRPr="00B97427">
              <w:rPr>
                <w:rFonts w:cstheme="minorHAnsi"/>
                <w:color w:val="000000" w:themeColor="text1"/>
                <w:sz w:val="18"/>
                <w:szCs w:val="18"/>
              </w:rPr>
              <w:t>-</w:t>
            </w:r>
            <w:r w:rsidRPr="00B97427">
              <w:rPr>
                <w:rFonts w:cstheme="minorHAnsi"/>
                <w:i/>
                <w:color w:val="000000" w:themeColor="text1"/>
                <w:sz w:val="18"/>
                <w:szCs w:val="18"/>
              </w:rPr>
              <w:t>Cg_accBC-Cg_accD1</w:t>
            </w:r>
            <w:r w:rsidRPr="00B97427">
              <w:rPr>
                <w:rFonts w:cstheme="minorHAnsi"/>
                <w:color w:val="000000" w:themeColor="text1"/>
                <w:sz w:val="18"/>
                <w:szCs w:val="18"/>
              </w:rPr>
              <w:t xml:space="preserve">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PVLB_18090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6D67A6A3"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Deleted putative 3-oxoacyl-ACP synthase III in a flaviolin producer</w:t>
            </w:r>
          </w:p>
        </w:tc>
        <w:tc>
          <w:tcPr>
            <w:tcW w:w="2551" w:type="dxa"/>
          </w:tcPr>
          <w:p w14:paraId="3C709D13" w14:textId="77777777" w:rsidR="00AE654E" w:rsidRPr="008441F8" w:rsidRDefault="00AE654E" w:rsidP="000165F5">
            <w:pPr>
              <w:keepNext/>
              <w:jc w:val="both"/>
              <w:rPr>
                <w:sz w:val="18"/>
                <w:lang w:val="en-US"/>
              </w:rPr>
            </w:pPr>
            <w:r w:rsidRPr="008441F8">
              <w:rPr>
                <w:sz w:val="18"/>
                <w:lang w:val="en-US"/>
              </w:rPr>
              <w:t>This study; MiKat#813</w:t>
            </w:r>
          </w:p>
        </w:tc>
      </w:tr>
      <w:tr w:rsidR="00AE654E" w:rsidRPr="008441F8" w14:paraId="18D42F7B" w14:textId="77777777" w:rsidTr="005B7F65">
        <w:tc>
          <w:tcPr>
            <w:tcW w:w="5524" w:type="dxa"/>
          </w:tcPr>
          <w:p w14:paraId="7E9A8555"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color w:val="000000" w:themeColor="text1"/>
                <w:sz w:val="18"/>
                <w:szCs w:val="18"/>
              </w:rPr>
              <w:t>* PVLB_23545-40::P</w:t>
            </w:r>
            <w:r w:rsidRPr="00B97427">
              <w:rPr>
                <w:rFonts w:cstheme="minorHAnsi"/>
                <w:color w:val="000000" w:themeColor="text1"/>
                <w:sz w:val="18"/>
                <w:szCs w:val="18"/>
                <w:vertAlign w:val="subscript"/>
              </w:rPr>
              <w:t>14f</w:t>
            </w:r>
            <w:r w:rsidRPr="00B97427">
              <w:rPr>
                <w:rFonts w:cstheme="minorHAnsi"/>
                <w:color w:val="000000" w:themeColor="text1"/>
                <w:sz w:val="18"/>
                <w:szCs w:val="18"/>
              </w:rPr>
              <w:t>-</w:t>
            </w:r>
            <w:r w:rsidRPr="00B97427">
              <w:rPr>
                <w:rFonts w:cstheme="minorHAnsi"/>
                <w:i/>
                <w:color w:val="000000" w:themeColor="text1"/>
                <w:sz w:val="18"/>
                <w:szCs w:val="18"/>
              </w:rPr>
              <w:t>Cg_accBC-Cg_accD1</w:t>
            </w:r>
            <w:r w:rsidRPr="00B97427">
              <w:rPr>
                <w:rFonts w:cstheme="minorHAnsi"/>
                <w:color w:val="000000" w:themeColor="text1"/>
                <w:sz w:val="18"/>
                <w:szCs w:val="18"/>
              </w:rPr>
              <w:t xml:space="preserve">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PVLB_18090 </w:t>
            </w:r>
            <w:r w:rsidRPr="00B97427">
              <w:rPr>
                <w:rFonts w:cs="Times New Roman"/>
                <w:color w:val="000000" w:themeColor="text1"/>
                <w:sz w:val="18"/>
                <w:szCs w:val="18"/>
              </w:rPr>
              <w:t>(=GRC3</w:t>
            </w:r>
            <w:r w:rsidRPr="008441F8">
              <w:rPr>
                <w:rFonts w:cstheme="minorHAnsi"/>
                <w:color w:val="000000" w:themeColor="text1"/>
                <w:sz w:val="18"/>
                <w:szCs w:val="18"/>
                <w:lang w:val="en-US"/>
              </w:rPr>
              <w:t>Δ</w:t>
            </w:r>
            <w:r w:rsidRPr="00B97427">
              <w:rPr>
                <w:rFonts w:cstheme="minorHAnsi"/>
                <w:color w:val="000000" w:themeColor="text1"/>
                <w:sz w:val="18"/>
                <w:szCs w:val="18"/>
              </w:rPr>
              <w:t>6</w:t>
            </w:r>
            <w:r>
              <w:rPr>
                <w:rFonts w:cstheme="minorHAnsi"/>
                <w:color w:val="000000" w:themeColor="text1"/>
                <w:sz w:val="18"/>
                <w:szCs w:val="18"/>
              </w:rPr>
              <w:t xml:space="preserve"> </w:t>
            </w:r>
            <w:r w:rsidRPr="00B97427">
              <w:rPr>
                <w:rFonts w:cs="Times New Roman"/>
                <w:color w:val="000000" w:themeColor="text1"/>
                <w:sz w:val="18"/>
                <w:szCs w:val="18"/>
              </w:rPr>
              <w:t>MC-I)</w:t>
            </w:r>
          </w:p>
        </w:tc>
        <w:tc>
          <w:tcPr>
            <w:tcW w:w="6095" w:type="dxa"/>
          </w:tcPr>
          <w:p w14:paraId="08FA00E6"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Malonyl-CoA platform strain No.1 (GRC3Δ6MC I)</w:t>
            </w:r>
          </w:p>
        </w:tc>
        <w:tc>
          <w:tcPr>
            <w:tcW w:w="2551" w:type="dxa"/>
          </w:tcPr>
          <w:p w14:paraId="7A012422" w14:textId="77777777" w:rsidR="00AE654E" w:rsidRPr="008441F8" w:rsidRDefault="00AE654E" w:rsidP="000165F5">
            <w:pPr>
              <w:keepNext/>
              <w:jc w:val="both"/>
              <w:rPr>
                <w:sz w:val="18"/>
                <w:lang w:val="en-US"/>
              </w:rPr>
            </w:pPr>
            <w:r w:rsidRPr="008441F8">
              <w:rPr>
                <w:sz w:val="18"/>
                <w:lang w:val="en-US"/>
              </w:rPr>
              <w:t>This study; MiKat#822</w:t>
            </w:r>
          </w:p>
        </w:tc>
      </w:tr>
      <w:tr w:rsidR="00AE654E" w:rsidRPr="008441F8" w14:paraId="7553406C" w14:textId="77777777" w:rsidTr="005B7F65">
        <w:tc>
          <w:tcPr>
            <w:tcW w:w="5524" w:type="dxa"/>
          </w:tcPr>
          <w:p w14:paraId="1F2E305E"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::P</w:t>
            </w:r>
            <w:r w:rsidRPr="00B97427">
              <w:rPr>
                <w:rFonts w:cstheme="minorHAnsi"/>
                <w:color w:val="000000" w:themeColor="text1"/>
                <w:sz w:val="18"/>
                <w:szCs w:val="18"/>
                <w:vertAlign w:val="subscript"/>
              </w:rPr>
              <w:t>14a</w:t>
            </w:r>
            <w:r w:rsidRPr="00B97427">
              <w:rPr>
                <w:rFonts w:cstheme="minorHAnsi"/>
                <w:color w:val="000000" w:themeColor="text1"/>
                <w:sz w:val="18"/>
                <w:szCs w:val="18"/>
              </w:rPr>
              <w:t>* PVLB_23545-40::</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14f</w:t>
            </w:r>
            <w:r w:rsidRPr="00B97427">
              <w:rPr>
                <w:rFonts w:cstheme="minorHAnsi"/>
                <w:color w:val="000000" w:themeColor="text1"/>
                <w:sz w:val="18"/>
                <w:szCs w:val="18"/>
              </w:rPr>
              <w:t>-</w:t>
            </w:r>
            <w:r w:rsidRPr="00B97427">
              <w:rPr>
                <w:rFonts w:cstheme="minorHAnsi"/>
                <w:i/>
                <w:color w:val="000000" w:themeColor="text1"/>
                <w:sz w:val="18"/>
                <w:szCs w:val="18"/>
              </w:rPr>
              <w:t>Cg_accBC-Cg_accD1</w:t>
            </w:r>
            <w:r w:rsidRPr="00B97427">
              <w:rPr>
                <w:rFonts w:cstheme="minorHAnsi"/>
                <w:color w:val="000000" w:themeColor="text1"/>
                <w:sz w:val="18"/>
                <w:szCs w:val="18"/>
              </w:rPr>
              <w:t xml:space="preserve">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PVLB_18090 </w:t>
            </w:r>
            <w:r w:rsidRPr="008441F8">
              <w:rPr>
                <w:rFonts w:cstheme="minorHAnsi"/>
                <w:color w:val="000000" w:themeColor="text1"/>
                <w:sz w:val="18"/>
                <w:szCs w:val="18"/>
                <w:lang w:val="en-US"/>
              </w:rPr>
              <w:t>Δ</w:t>
            </w:r>
            <w:r w:rsidRPr="00B97427">
              <w:rPr>
                <w:rFonts w:cstheme="minorHAnsi"/>
                <w:i/>
                <w:color w:val="000000" w:themeColor="text1"/>
                <w:sz w:val="18"/>
                <w:szCs w:val="18"/>
              </w:rPr>
              <w:t>pycAB</w:t>
            </w:r>
            <w:r w:rsidRPr="00B97427">
              <w:rPr>
                <w:rFonts w:cstheme="minorHAnsi"/>
                <w:color w:val="000000" w:themeColor="text1"/>
                <w:sz w:val="18"/>
                <w:szCs w:val="18"/>
              </w:rPr>
              <w:t xml:space="preserve">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4A023FD8"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deleted pyruvate decarboxylase (PVLB_25325-30) in a flaviolin producer</w:t>
            </w:r>
          </w:p>
        </w:tc>
        <w:tc>
          <w:tcPr>
            <w:tcW w:w="2551" w:type="dxa"/>
          </w:tcPr>
          <w:p w14:paraId="53581610" w14:textId="77777777" w:rsidR="00AE654E" w:rsidRPr="008441F8" w:rsidRDefault="00AE654E" w:rsidP="000165F5">
            <w:pPr>
              <w:keepNext/>
              <w:jc w:val="both"/>
              <w:rPr>
                <w:sz w:val="18"/>
                <w:lang w:val="en-US"/>
              </w:rPr>
            </w:pPr>
            <w:r w:rsidRPr="008441F8">
              <w:rPr>
                <w:sz w:val="18"/>
                <w:lang w:val="en-US"/>
              </w:rPr>
              <w:t>This study; MiKat#852</w:t>
            </w:r>
          </w:p>
        </w:tc>
      </w:tr>
      <w:tr w:rsidR="00AE654E" w:rsidRPr="008441F8" w14:paraId="7AFD5F94" w14:textId="77777777" w:rsidTr="005B7F65">
        <w:tc>
          <w:tcPr>
            <w:tcW w:w="5524" w:type="dxa"/>
          </w:tcPr>
          <w:p w14:paraId="15DB5C8F"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lastRenderedPageBreak/>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color w:val="000000" w:themeColor="text1"/>
                <w:sz w:val="18"/>
                <w:szCs w:val="18"/>
              </w:rPr>
              <w:t>* PVLB_02480-85::</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EM7</w:t>
            </w:r>
            <w:r w:rsidRPr="00B97427">
              <w:rPr>
                <w:rFonts w:cstheme="minorHAnsi"/>
                <w:color w:val="000000" w:themeColor="text1"/>
                <w:sz w:val="18"/>
                <w:szCs w:val="18"/>
              </w:rPr>
              <w:t>_PP3303 (</w:t>
            </w:r>
            <w:r w:rsidRPr="00B97427">
              <w:rPr>
                <w:rFonts w:cstheme="minorHAnsi"/>
                <w:i/>
                <w:iCs/>
                <w:color w:val="000000" w:themeColor="text1"/>
                <w:sz w:val="18"/>
                <w:szCs w:val="18"/>
              </w:rPr>
              <w:t>fabF-2</w:t>
            </w:r>
            <w:r w:rsidRPr="00B97427">
              <w:rPr>
                <w:rFonts w:cstheme="minorHAnsi"/>
                <w:color w:val="000000" w:themeColor="text1"/>
                <w:sz w:val="18"/>
                <w:szCs w:val="18"/>
              </w:rPr>
              <w:t xml:space="preserve">)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1B7A8E07"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Integrated cryptic long-chain 3-oxoacyl-ACP synthase II (FabF-2, PP_3303) from </w:t>
            </w:r>
            <w:r w:rsidRPr="008441F8">
              <w:rPr>
                <w:rFonts w:cs="Times New Roman"/>
                <w:i/>
                <w:iCs/>
                <w:color w:val="000000" w:themeColor="text1"/>
                <w:sz w:val="18"/>
                <w:szCs w:val="18"/>
                <w:lang w:val="en-US"/>
              </w:rPr>
              <w:t>P. putida</w:t>
            </w:r>
            <w:r w:rsidRPr="008441F8">
              <w:rPr>
                <w:rFonts w:cs="Times New Roman"/>
                <w:color w:val="000000" w:themeColor="text1"/>
                <w:sz w:val="18"/>
                <w:szCs w:val="18"/>
                <w:lang w:val="en-US"/>
              </w:rPr>
              <w:t xml:space="preserve"> KT2440 in a flaviolin producer</w:t>
            </w:r>
          </w:p>
        </w:tc>
        <w:tc>
          <w:tcPr>
            <w:tcW w:w="2551" w:type="dxa"/>
          </w:tcPr>
          <w:p w14:paraId="47A75F3C" w14:textId="77777777" w:rsidR="00AE654E" w:rsidRPr="008441F8" w:rsidRDefault="00AE654E" w:rsidP="000165F5">
            <w:pPr>
              <w:keepNext/>
              <w:jc w:val="both"/>
              <w:rPr>
                <w:sz w:val="18"/>
                <w:lang w:val="en-US"/>
              </w:rPr>
            </w:pPr>
            <w:r w:rsidRPr="008441F8">
              <w:rPr>
                <w:sz w:val="18"/>
                <w:lang w:val="en-US"/>
              </w:rPr>
              <w:t>This study; MiKat#912</w:t>
            </w:r>
          </w:p>
        </w:tc>
      </w:tr>
      <w:tr w:rsidR="00AE654E" w:rsidRPr="008441F8" w14:paraId="1BFA6921" w14:textId="77777777" w:rsidTr="005B7F65">
        <w:tc>
          <w:tcPr>
            <w:tcW w:w="5524" w:type="dxa"/>
          </w:tcPr>
          <w:p w14:paraId="6548A859"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color w:val="000000" w:themeColor="text1"/>
                <w:sz w:val="18"/>
                <w:szCs w:val="18"/>
              </w:rPr>
              <w:t>* PVLB_02480-85::</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EM7</w:t>
            </w:r>
            <w:r w:rsidRPr="00B97427">
              <w:rPr>
                <w:rFonts w:cstheme="minorHAnsi"/>
                <w:color w:val="000000" w:themeColor="text1"/>
                <w:sz w:val="18"/>
                <w:szCs w:val="18"/>
              </w:rPr>
              <w:t>_PP3303 (</w:t>
            </w:r>
            <w:r w:rsidRPr="00B97427">
              <w:rPr>
                <w:rFonts w:cstheme="minorHAnsi"/>
                <w:i/>
                <w:iCs/>
                <w:color w:val="000000" w:themeColor="text1"/>
                <w:sz w:val="18"/>
                <w:szCs w:val="18"/>
              </w:rPr>
              <w:t>fabF-2</w:t>
            </w:r>
            <w:r w:rsidRPr="00B97427">
              <w:rPr>
                <w:rFonts w:cstheme="minorHAnsi"/>
                <w:color w:val="000000" w:themeColor="text1"/>
                <w:sz w:val="18"/>
                <w:szCs w:val="18"/>
              </w:rPr>
              <w:t xml:space="preserve">) </w:t>
            </w:r>
            <w:r w:rsidRPr="008441F8">
              <w:rPr>
                <w:rFonts w:cstheme="minorHAnsi"/>
                <w:color w:val="000000" w:themeColor="text1"/>
                <w:sz w:val="18"/>
                <w:szCs w:val="18"/>
                <w:lang w:val="en-US"/>
              </w:rPr>
              <w:t>Δ</w:t>
            </w:r>
            <w:r w:rsidRPr="00B97427">
              <w:rPr>
                <w:rFonts w:cstheme="minorHAnsi"/>
                <w:i/>
                <w:color w:val="000000" w:themeColor="text1"/>
                <w:sz w:val="18"/>
                <w:szCs w:val="18"/>
              </w:rPr>
              <w:t>fabF</w:t>
            </w:r>
            <w:r w:rsidRPr="00B97427">
              <w:rPr>
                <w:rFonts w:cstheme="minorHAnsi"/>
                <w:color w:val="000000" w:themeColor="text1"/>
                <w:sz w:val="18"/>
                <w:szCs w:val="18"/>
              </w:rPr>
              <w:t xml:space="preserve"> (PVLB_07185)</w:t>
            </w:r>
            <w:r w:rsidRPr="00B97427">
              <w:rPr>
                <w:rFonts w:cstheme="minorHAnsi"/>
                <w:i/>
                <w:color w:val="000000" w:themeColor="text1"/>
                <w:sz w:val="18"/>
                <w:szCs w:val="18"/>
              </w:rPr>
              <w:t xml:space="preserve"> </w:t>
            </w:r>
            <w:r w:rsidRPr="00B97427">
              <w:rPr>
                <w:rFonts w:cs="Times New Roman"/>
                <w:color w:val="000000" w:themeColor="text1"/>
                <w:sz w:val="18"/>
                <w:szCs w:val="18"/>
              </w:rPr>
              <w:t>(=GRC3</w:t>
            </w:r>
            <w:r w:rsidRPr="008441F8">
              <w:rPr>
                <w:rFonts w:cstheme="minorHAnsi"/>
                <w:color w:val="000000" w:themeColor="text1"/>
                <w:sz w:val="18"/>
                <w:szCs w:val="18"/>
                <w:lang w:val="en-US"/>
              </w:rPr>
              <w:t>Δ</w:t>
            </w:r>
            <w:r w:rsidRPr="00B97427">
              <w:rPr>
                <w:rFonts w:cstheme="minorHAnsi"/>
                <w:color w:val="000000" w:themeColor="text1"/>
                <w:sz w:val="18"/>
                <w:szCs w:val="18"/>
              </w:rPr>
              <w:t>6</w:t>
            </w:r>
            <w:r>
              <w:rPr>
                <w:rFonts w:cstheme="minorHAnsi"/>
                <w:color w:val="000000" w:themeColor="text1"/>
                <w:sz w:val="18"/>
                <w:szCs w:val="18"/>
              </w:rPr>
              <w:t xml:space="preserve"> </w:t>
            </w:r>
            <w:r w:rsidRPr="00B97427">
              <w:rPr>
                <w:rFonts w:cs="Times New Roman"/>
                <w:color w:val="000000" w:themeColor="text1"/>
                <w:sz w:val="18"/>
                <w:szCs w:val="18"/>
              </w:rPr>
              <w:t xml:space="preserve">MC-II)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2F6F5AA4"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Deleted </w:t>
            </w:r>
            <w:r w:rsidRPr="008441F8">
              <w:rPr>
                <w:rFonts w:cs="Times New Roman"/>
                <w:i/>
                <w:color w:val="000000" w:themeColor="text1"/>
                <w:sz w:val="18"/>
                <w:szCs w:val="18"/>
                <w:lang w:val="en-US"/>
              </w:rPr>
              <w:t>fabF</w:t>
            </w:r>
            <w:r w:rsidRPr="008441F8">
              <w:rPr>
                <w:rFonts w:cs="Times New Roman"/>
                <w:color w:val="000000" w:themeColor="text1"/>
                <w:sz w:val="18"/>
                <w:szCs w:val="18"/>
                <w:lang w:val="en-US"/>
              </w:rPr>
              <w:t xml:space="preserve"> (PVLB_07185) in a flaviolin producer with </w:t>
            </w:r>
            <w:r w:rsidRPr="008441F8">
              <w:rPr>
                <w:rFonts w:cs="Times New Roman"/>
                <w:i/>
                <w:color w:val="000000" w:themeColor="text1"/>
                <w:sz w:val="18"/>
                <w:szCs w:val="18"/>
                <w:lang w:val="en-US"/>
              </w:rPr>
              <w:t xml:space="preserve">fabF-2; </w:t>
            </w:r>
            <w:r w:rsidRPr="008441F8">
              <w:rPr>
                <w:rFonts w:cs="Times New Roman"/>
                <w:color w:val="000000" w:themeColor="text1"/>
                <w:sz w:val="18"/>
                <w:szCs w:val="18"/>
                <w:lang w:val="en-US"/>
              </w:rPr>
              <w:t>Platform strain No.2 flaviolin producer</w:t>
            </w:r>
          </w:p>
        </w:tc>
        <w:tc>
          <w:tcPr>
            <w:tcW w:w="2551" w:type="dxa"/>
          </w:tcPr>
          <w:p w14:paraId="5DF5062A" w14:textId="77777777" w:rsidR="00AE654E" w:rsidRPr="008441F8" w:rsidRDefault="00AE654E" w:rsidP="000165F5">
            <w:pPr>
              <w:keepNext/>
              <w:jc w:val="both"/>
              <w:rPr>
                <w:sz w:val="18"/>
                <w:lang w:val="en-US"/>
              </w:rPr>
            </w:pPr>
            <w:r w:rsidRPr="008441F8">
              <w:rPr>
                <w:sz w:val="18"/>
                <w:lang w:val="en-US"/>
              </w:rPr>
              <w:t>This study; MiKat#912</w:t>
            </w:r>
          </w:p>
        </w:tc>
      </w:tr>
      <w:tr w:rsidR="00AE654E" w:rsidRPr="008441F8" w14:paraId="137B6B77" w14:textId="77777777" w:rsidTr="005B7F65">
        <w:tc>
          <w:tcPr>
            <w:tcW w:w="5524" w:type="dxa"/>
          </w:tcPr>
          <w:p w14:paraId="709FD1BB" w14:textId="77777777" w:rsidR="00AE654E" w:rsidRPr="00B97427"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i/>
                <w:iCs/>
                <w:color w:val="000000" w:themeColor="text1"/>
                <w:sz w:val="18"/>
                <w:szCs w:val="18"/>
              </w:rPr>
              <w:t>*</w:t>
            </w:r>
            <w:r w:rsidRPr="00B97427">
              <w:rPr>
                <w:rFonts w:cstheme="minorHAnsi"/>
                <w:color w:val="000000" w:themeColor="text1"/>
                <w:sz w:val="18"/>
                <w:szCs w:val="18"/>
              </w:rPr>
              <w:t xml:space="preserve"> PVLB_02480-85::</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EM7</w:t>
            </w:r>
            <w:r w:rsidRPr="00B97427">
              <w:rPr>
                <w:rFonts w:cstheme="minorHAnsi"/>
                <w:color w:val="000000" w:themeColor="text1"/>
                <w:sz w:val="18"/>
                <w:szCs w:val="18"/>
              </w:rPr>
              <w:t>_PP3303 (</w:t>
            </w:r>
            <w:r w:rsidRPr="00B97427">
              <w:rPr>
                <w:rFonts w:cstheme="minorHAnsi"/>
                <w:i/>
                <w:iCs/>
                <w:color w:val="000000" w:themeColor="text1"/>
                <w:sz w:val="18"/>
                <w:szCs w:val="18"/>
              </w:rPr>
              <w:t>fabF-2</w:t>
            </w:r>
            <w:r w:rsidRPr="00B97427">
              <w:rPr>
                <w:rFonts w:cstheme="minorHAnsi"/>
                <w:color w:val="000000" w:themeColor="text1"/>
                <w:sz w:val="18"/>
                <w:szCs w:val="18"/>
              </w:rPr>
              <w:t xml:space="preserve">) </w:t>
            </w:r>
            <w:r w:rsidRPr="008441F8">
              <w:rPr>
                <w:rFonts w:cstheme="minorHAnsi"/>
                <w:color w:val="000000" w:themeColor="text1"/>
                <w:sz w:val="18"/>
                <w:szCs w:val="18"/>
                <w:lang w:val="en-US"/>
              </w:rPr>
              <w:t>Δ</w:t>
            </w:r>
            <w:r w:rsidRPr="00B97427">
              <w:rPr>
                <w:rFonts w:cstheme="minorHAnsi"/>
                <w:i/>
                <w:color w:val="000000" w:themeColor="text1"/>
                <w:sz w:val="18"/>
                <w:szCs w:val="18"/>
              </w:rPr>
              <w:t>fabF</w:t>
            </w:r>
            <w:r w:rsidRPr="00B97427">
              <w:rPr>
                <w:rFonts w:cstheme="minorHAnsi"/>
                <w:color w:val="000000" w:themeColor="text1"/>
                <w:sz w:val="18"/>
                <w:szCs w:val="18"/>
              </w:rPr>
              <w:t xml:space="preserve"> (PVLB_07185)</w:t>
            </w:r>
            <w:r w:rsidRPr="00B97427">
              <w:rPr>
                <w:rFonts w:cstheme="minorHAnsi"/>
                <w:i/>
                <w:color w:val="000000" w:themeColor="text1"/>
                <w:sz w:val="18"/>
                <w:szCs w:val="18"/>
              </w:rPr>
              <w:t xml:space="preserve"> </w:t>
            </w:r>
            <w:r w:rsidRPr="00B97427">
              <w:rPr>
                <w:rFonts w:cs="Times New Roman"/>
                <w:color w:val="000000" w:themeColor="text1"/>
                <w:sz w:val="18"/>
                <w:szCs w:val="18"/>
              </w:rPr>
              <w:t>(=GRC3</w:t>
            </w:r>
            <w:r w:rsidRPr="008441F8">
              <w:rPr>
                <w:rFonts w:cstheme="minorHAnsi"/>
                <w:color w:val="000000" w:themeColor="text1"/>
                <w:sz w:val="18"/>
                <w:szCs w:val="18"/>
                <w:lang w:val="en-US"/>
              </w:rPr>
              <w:t>Δ</w:t>
            </w:r>
            <w:r w:rsidRPr="00B97427">
              <w:rPr>
                <w:rFonts w:cstheme="minorHAnsi"/>
                <w:color w:val="000000" w:themeColor="text1"/>
                <w:sz w:val="18"/>
                <w:szCs w:val="18"/>
              </w:rPr>
              <w:t>6</w:t>
            </w:r>
            <w:r>
              <w:rPr>
                <w:rFonts w:cstheme="minorHAnsi"/>
                <w:color w:val="000000" w:themeColor="text1"/>
                <w:sz w:val="18"/>
                <w:szCs w:val="18"/>
              </w:rPr>
              <w:t xml:space="preserve"> </w:t>
            </w:r>
            <w:r w:rsidRPr="00B97427">
              <w:rPr>
                <w:rFonts w:cs="Times New Roman"/>
                <w:color w:val="000000" w:themeColor="text1"/>
                <w:sz w:val="18"/>
                <w:szCs w:val="18"/>
              </w:rPr>
              <w:t>MC-II)</w:t>
            </w:r>
          </w:p>
        </w:tc>
        <w:tc>
          <w:tcPr>
            <w:tcW w:w="6095" w:type="dxa"/>
          </w:tcPr>
          <w:p w14:paraId="3E3DDC5C"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Malonyl-CoA platform strain No.2 (GRC3Δ6MC II)</w:t>
            </w:r>
          </w:p>
        </w:tc>
        <w:tc>
          <w:tcPr>
            <w:tcW w:w="2551" w:type="dxa"/>
          </w:tcPr>
          <w:p w14:paraId="663B7EC6" w14:textId="77777777" w:rsidR="00AE654E" w:rsidRPr="008441F8" w:rsidRDefault="00AE654E" w:rsidP="000165F5">
            <w:pPr>
              <w:keepNext/>
              <w:jc w:val="both"/>
              <w:rPr>
                <w:sz w:val="18"/>
                <w:lang w:val="en-US"/>
              </w:rPr>
            </w:pPr>
            <w:r w:rsidRPr="008441F8">
              <w:rPr>
                <w:sz w:val="18"/>
                <w:lang w:val="en-US"/>
              </w:rPr>
              <w:t>This study; MiKat#975</w:t>
            </w:r>
          </w:p>
        </w:tc>
      </w:tr>
      <w:tr w:rsidR="00AE654E" w:rsidRPr="008441F8" w14:paraId="19BC2006" w14:textId="77777777" w:rsidTr="005B7F65">
        <w:tc>
          <w:tcPr>
            <w:tcW w:w="5524" w:type="dxa"/>
          </w:tcPr>
          <w:p w14:paraId="00D67F8A" w14:textId="77777777" w:rsidR="00AE654E" w:rsidRDefault="00AE654E" w:rsidP="000165F5">
            <w:pPr>
              <w:rPr>
                <w:rFonts w:cs="Times New Roman"/>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 xml:space="preserve">6 </w:t>
            </w:r>
            <w:r w:rsidRPr="008441F8">
              <w:rPr>
                <w:rFonts w:cstheme="minorHAnsi"/>
                <w:color w:val="000000" w:themeColor="text1"/>
                <w:sz w:val="18"/>
                <w:szCs w:val="18"/>
                <w:lang w:val="en-US"/>
              </w:rPr>
              <w:t>Δ</w:t>
            </w:r>
            <w:r w:rsidRPr="00B97427">
              <w:rPr>
                <w:rFonts w:cstheme="minorHAnsi"/>
                <w:i/>
                <w:color w:val="000000" w:themeColor="text1"/>
                <w:sz w:val="18"/>
                <w:szCs w:val="18"/>
              </w:rPr>
              <w:t>gcd</w:t>
            </w:r>
            <w:r w:rsidRPr="00B97427">
              <w:rPr>
                <w:rFonts w:cstheme="minorHAnsi"/>
                <w:color w:val="000000" w:themeColor="text1"/>
                <w:sz w:val="18"/>
                <w:szCs w:val="18"/>
              </w:rPr>
              <w:t xml:space="preserve"> ∆</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gltA</w:t>
            </w:r>
            <w:r w:rsidRPr="00B97427">
              <w:rPr>
                <w:rFonts w:cstheme="minorHAnsi"/>
                <w:color w:val="000000" w:themeColor="text1"/>
                <w:sz w:val="18"/>
                <w:szCs w:val="18"/>
              </w:rPr>
              <w:t>::</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14a</w:t>
            </w:r>
            <w:r w:rsidRPr="00B97427">
              <w:rPr>
                <w:rFonts w:cstheme="minorHAnsi"/>
                <w:i/>
                <w:iCs/>
                <w:color w:val="000000" w:themeColor="text1"/>
                <w:sz w:val="18"/>
                <w:szCs w:val="18"/>
              </w:rPr>
              <w:t>*</w:t>
            </w:r>
            <w:r w:rsidRPr="00B97427">
              <w:rPr>
                <w:rFonts w:cstheme="minorHAnsi"/>
                <w:color w:val="000000" w:themeColor="text1"/>
                <w:sz w:val="18"/>
                <w:szCs w:val="18"/>
              </w:rPr>
              <w:t xml:space="preserve"> PVLB_02480-85::</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EM7</w:t>
            </w:r>
            <w:r w:rsidRPr="00B97427">
              <w:rPr>
                <w:rFonts w:cstheme="minorHAnsi"/>
                <w:color w:val="000000" w:themeColor="text1"/>
                <w:sz w:val="18"/>
                <w:szCs w:val="18"/>
              </w:rPr>
              <w:t>_PP3303 (</w:t>
            </w:r>
            <w:r w:rsidRPr="00B97427">
              <w:rPr>
                <w:rFonts w:cstheme="minorHAnsi"/>
                <w:i/>
                <w:iCs/>
                <w:color w:val="000000" w:themeColor="text1"/>
                <w:sz w:val="18"/>
                <w:szCs w:val="18"/>
              </w:rPr>
              <w:t>fabF-2</w:t>
            </w:r>
            <w:r w:rsidRPr="00B97427">
              <w:rPr>
                <w:rFonts w:cstheme="minorHAnsi"/>
                <w:color w:val="000000" w:themeColor="text1"/>
                <w:sz w:val="18"/>
                <w:szCs w:val="18"/>
              </w:rPr>
              <w:t xml:space="preserve">) </w:t>
            </w:r>
            <w:r w:rsidRPr="008441F8">
              <w:rPr>
                <w:rFonts w:cstheme="minorHAnsi"/>
                <w:color w:val="000000" w:themeColor="text1"/>
                <w:sz w:val="18"/>
                <w:szCs w:val="18"/>
                <w:lang w:val="en-US"/>
              </w:rPr>
              <w:t>Δ</w:t>
            </w:r>
            <w:r w:rsidRPr="00B97427">
              <w:rPr>
                <w:rFonts w:cstheme="minorHAnsi"/>
                <w:i/>
                <w:color w:val="000000" w:themeColor="text1"/>
                <w:sz w:val="18"/>
                <w:szCs w:val="18"/>
              </w:rPr>
              <w:t>fabF</w:t>
            </w:r>
            <w:r w:rsidRPr="00B97427">
              <w:rPr>
                <w:rFonts w:cstheme="minorHAnsi"/>
                <w:color w:val="000000" w:themeColor="text1"/>
                <w:sz w:val="18"/>
                <w:szCs w:val="18"/>
              </w:rPr>
              <w:t xml:space="preserve"> (PVLB_07185)</w:t>
            </w:r>
            <w:r w:rsidRPr="00B97427">
              <w:rPr>
                <w:rFonts w:cstheme="minorHAnsi"/>
                <w:i/>
                <w:color w:val="000000" w:themeColor="text1"/>
                <w:sz w:val="18"/>
                <w:szCs w:val="18"/>
              </w:rPr>
              <w:t xml:space="preserve"> </w:t>
            </w:r>
            <w:r w:rsidRPr="00B97427">
              <w:rPr>
                <w:rFonts w:cstheme="minorHAnsi"/>
                <w:color w:val="000000" w:themeColor="text1"/>
                <w:sz w:val="18"/>
                <w:szCs w:val="18"/>
              </w:rPr>
              <w:t>PVLB_23545-40::</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14f</w:t>
            </w:r>
            <w:r w:rsidRPr="00B97427">
              <w:rPr>
                <w:rFonts w:cstheme="minorHAnsi"/>
                <w:color w:val="000000" w:themeColor="text1"/>
                <w:sz w:val="18"/>
                <w:szCs w:val="18"/>
              </w:rPr>
              <w:t>-</w:t>
            </w:r>
            <w:r w:rsidRPr="00B97427">
              <w:rPr>
                <w:rFonts w:cstheme="minorHAnsi"/>
                <w:i/>
                <w:color w:val="000000" w:themeColor="text1"/>
                <w:sz w:val="18"/>
                <w:szCs w:val="18"/>
              </w:rPr>
              <w:t>Cg_accBC-Cg_accD1</w:t>
            </w:r>
            <w:r w:rsidRPr="00B97427">
              <w:rPr>
                <w:rFonts w:cs="Times New Roman"/>
                <w:color w:val="000000" w:themeColor="text1"/>
                <w:sz w:val="18"/>
                <w:szCs w:val="18"/>
              </w:rPr>
              <w:t xml:space="preserve"> </w:t>
            </w:r>
          </w:p>
          <w:p w14:paraId="3FE7734D"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(=GRC3</w:t>
            </w:r>
            <w:r w:rsidRPr="008441F8">
              <w:rPr>
                <w:rFonts w:cstheme="minorHAnsi"/>
                <w:color w:val="000000" w:themeColor="text1"/>
                <w:sz w:val="18"/>
                <w:szCs w:val="18"/>
                <w:lang w:val="en-US"/>
              </w:rPr>
              <w:t>Δ</w:t>
            </w:r>
            <w:r w:rsidRPr="00B97427">
              <w:rPr>
                <w:rFonts w:cstheme="minorHAnsi"/>
                <w:color w:val="000000" w:themeColor="text1"/>
                <w:sz w:val="18"/>
                <w:szCs w:val="18"/>
              </w:rPr>
              <w:t>6</w:t>
            </w:r>
            <w:r>
              <w:rPr>
                <w:rFonts w:cstheme="minorHAnsi"/>
                <w:color w:val="000000" w:themeColor="text1"/>
                <w:sz w:val="18"/>
                <w:szCs w:val="18"/>
              </w:rPr>
              <w:t xml:space="preserve"> </w:t>
            </w:r>
            <w:r w:rsidRPr="00B97427">
              <w:rPr>
                <w:rFonts w:cs="Times New Roman"/>
                <w:color w:val="000000" w:themeColor="text1"/>
                <w:sz w:val="18"/>
                <w:szCs w:val="18"/>
              </w:rPr>
              <w:t>MC-III)</w:t>
            </w:r>
          </w:p>
        </w:tc>
        <w:tc>
          <w:tcPr>
            <w:tcW w:w="6095" w:type="dxa"/>
          </w:tcPr>
          <w:p w14:paraId="2D3F2438"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Malonyl-CoA platform strain No.2 with ACC from </w:t>
            </w:r>
            <w:r w:rsidRPr="008441F8">
              <w:rPr>
                <w:rFonts w:cs="Times New Roman"/>
                <w:i/>
                <w:color w:val="000000" w:themeColor="text1"/>
                <w:sz w:val="18"/>
                <w:szCs w:val="18"/>
                <w:lang w:val="en-US"/>
              </w:rPr>
              <w:t xml:space="preserve">C. glutamicum </w:t>
            </w:r>
            <w:r w:rsidRPr="008441F8">
              <w:rPr>
                <w:rFonts w:cs="Times New Roman"/>
                <w:color w:val="000000" w:themeColor="text1"/>
                <w:sz w:val="18"/>
                <w:szCs w:val="18"/>
                <w:lang w:val="en-US"/>
              </w:rPr>
              <w:t>(=&gt; No.3) (GRC3Δ6MC III)</w:t>
            </w:r>
          </w:p>
        </w:tc>
        <w:tc>
          <w:tcPr>
            <w:tcW w:w="2551" w:type="dxa"/>
          </w:tcPr>
          <w:p w14:paraId="6A5D5614" w14:textId="77777777" w:rsidR="00AE654E" w:rsidRPr="008441F8" w:rsidRDefault="00AE654E" w:rsidP="000165F5">
            <w:pPr>
              <w:keepNext/>
              <w:jc w:val="both"/>
              <w:rPr>
                <w:sz w:val="18"/>
                <w:lang w:val="en-US"/>
              </w:rPr>
            </w:pPr>
            <w:r w:rsidRPr="008441F8">
              <w:rPr>
                <w:sz w:val="18"/>
                <w:lang w:val="en-US"/>
              </w:rPr>
              <w:t>This study; MiKat#1058</w:t>
            </w:r>
          </w:p>
        </w:tc>
      </w:tr>
      <w:tr w:rsidR="00AE654E" w:rsidRPr="008441F8" w14:paraId="5DD325BA" w14:textId="77777777" w:rsidTr="005B7F65">
        <w:tc>
          <w:tcPr>
            <w:tcW w:w="5524" w:type="dxa"/>
          </w:tcPr>
          <w:p w14:paraId="61254917" w14:textId="77777777" w:rsidR="00AE654E" w:rsidRPr="00B97427" w:rsidRDefault="00AE654E" w:rsidP="000165F5">
            <w:pPr>
              <w:rPr>
                <w:rFonts w:cs="Times New Roman"/>
                <w:i/>
                <w:color w:val="000000" w:themeColor="text1"/>
                <w:sz w:val="18"/>
                <w:szCs w:val="18"/>
              </w:rPr>
            </w:pPr>
            <w:r w:rsidRPr="00B97427">
              <w:rPr>
                <w:rFonts w:cs="Times New Roman"/>
                <w:color w:val="000000" w:themeColor="text1"/>
                <w:sz w:val="18"/>
                <w:szCs w:val="18"/>
              </w:rPr>
              <w:t xml:space="preserve">GRC3 </w:t>
            </w:r>
            <w:r w:rsidRPr="008441F8">
              <w:rPr>
                <w:rFonts w:cstheme="minorHAnsi"/>
                <w:color w:val="000000" w:themeColor="text1"/>
                <w:sz w:val="18"/>
                <w:szCs w:val="18"/>
                <w:lang w:val="en-US"/>
              </w:rPr>
              <w:t>Δ</w:t>
            </w:r>
            <w:r w:rsidRPr="00B97427">
              <w:rPr>
                <w:rFonts w:cstheme="minorHAnsi"/>
                <w:color w:val="000000" w:themeColor="text1"/>
                <w:sz w:val="18"/>
                <w:szCs w:val="18"/>
              </w:rPr>
              <w:t>6MC-II</w:t>
            </w:r>
            <w:r w:rsidRPr="00B97427">
              <w:rPr>
                <w:rFonts w:cs="Times New Roman"/>
                <w:color w:val="000000" w:themeColor="text1"/>
                <w:sz w:val="18"/>
                <w:szCs w:val="18"/>
              </w:rPr>
              <w:t xml:space="preserve"> </w:t>
            </w:r>
            <w:r w:rsidRPr="00B97427">
              <w:rPr>
                <w:rFonts w:cstheme="minorHAnsi"/>
                <w:color w:val="000000" w:themeColor="text1"/>
                <w:sz w:val="18"/>
                <w:szCs w:val="18"/>
              </w:rPr>
              <w:t>PVLB_23545-40::</w:t>
            </w:r>
            <w:r w:rsidRPr="00B97427">
              <w:rPr>
                <w:rFonts w:cstheme="minorHAnsi"/>
                <w:i/>
                <w:iCs/>
                <w:color w:val="000000" w:themeColor="text1"/>
                <w:sz w:val="18"/>
                <w:szCs w:val="18"/>
              </w:rPr>
              <w:t>P</w:t>
            </w:r>
            <w:r w:rsidRPr="00B97427">
              <w:rPr>
                <w:rFonts w:cstheme="minorHAnsi"/>
                <w:i/>
                <w:iCs/>
                <w:color w:val="000000" w:themeColor="text1"/>
                <w:sz w:val="18"/>
                <w:szCs w:val="18"/>
                <w:vertAlign w:val="subscript"/>
              </w:rPr>
              <w:t>14f</w:t>
            </w:r>
            <w:r w:rsidRPr="00B97427">
              <w:rPr>
                <w:rFonts w:cstheme="minorHAnsi"/>
                <w:i/>
                <w:iCs/>
                <w:color w:val="000000" w:themeColor="text1"/>
                <w:sz w:val="18"/>
                <w:szCs w:val="18"/>
              </w:rPr>
              <w:t>-</w:t>
            </w:r>
            <w:r w:rsidRPr="00B97427">
              <w:rPr>
                <w:rFonts w:cstheme="minorHAnsi"/>
                <w:i/>
                <w:color w:val="000000" w:themeColor="text1"/>
                <w:sz w:val="18"/>
                <w:szCs w:val="18"/>
              </w:rPr>
              <w:t>Cg_accBC-Cg_accD1</w:t>
            </w:r>
            <w:r w:rsidRPr="00B97427">
              <w:rPr>
                <w:rFonts w:cs="Times New Roman"/>
                <w:color w:val="000000" w:themeColor="text1"/>
                <w:sz w:val="18"/>
                <w:szCs w:val="18"/>
              </w:rPr>
              <w:t xml:space="preserve"> (=GRC3</w:t>
            </w:r>
            <w:r w:rsidRPr="008441F8">
              <w:rPr>
                <w:rFonts w:cstheme="minorHAnsi"/>
                <w:color w:val="000000" w:themeColor="text1"/>
                <w:sz w:val="18"/>
                <w:szCs w:val="18"/>
                <w:lang w:val="en-US"/>
              </w:rPr>
              <w:t>Δ</w:t>
            </w:r>
            <w:r w:rsidRPr="00B97427">
              <w:rPr>
                <w:rFonts w:cstheme="minorHAnsi"/>
                <w:color w:val="000000" w:themeColor="text1"/>
                <w:sz w:val="18"/>
                <w:szCs w:val="18"/>
              </w:rPr>
              <w:t>6</w:t>
            </w:r>
            <w:r>
              <w:rPr>
                <w:rFonts w:cstheme="minorHAnsi"/>
                <w:color w:val="000000" w:themeColor="text1"/>
                <w:sz w:val="18"/>
                <w:szCs w:val="18"/>
              </w:rPr>
              <w:t xml:space="preserve"> </w:t>
            </w:r>
            <w:r w:rsidRPr="00B97427">
              <w:rPr>
                <w:rFonts w:cs="Times New Roman"/>
                <w:color w:val="000000" w:themeColor="text1"/>
                <w:sz w:val="18"/>
                <w:szCs w:val="18"/>
              </w:rPr>
              <w:t xml:space="preserve">MC-III) </w:t>
            </w:r>
            <w:r w:rsidRPr="00B97427">
              <w:rPr>
                <w:rFonts w:cs="Times New Roman"/>
                <w:i/>
                <w:color w:val="000000" w:themeColor="text1"/>
                <w:sz w:val="18"/>
                <w:szCs w:val="18"/>
              </w:rPr>
              <w:t>attTn7</w:t>
            </w:r>
            <w:r w:rsidRPr="00B97427">
              <w:rPr>
                <w:rFonts w:cs="Times New Roman"/>
                <w:color w:val="000000" w:themeColor="text1"/>
                <w:sz w:val="18"/>
                <w:szCs w:val="18"/>
              </w:rPr>
              <w:t>::</w:t>
            </w:r>
            <w:r w:rsidRPr="00B97427">
              <w:rPr>
                <w:rFonts w:cs="Times New Roman"/>
                <w:i/>
                <w:color w:val="000000" w:themeColor="text1"/>
                <w:sz w:val="18"/>
                <w:szCs w:val="18"/>
              </w:rPr>
              <w:t>FRT-P</w:t>
            </w:r>
            <w:r w:rsidRPr="00B97427">
              <w:rPr>
                <w:rFonts w:cs="Times New Roman"/>
                <w:i/>
                <w:color w:val="000000" w:themeColor="text1"/>
                <w:sz w:val="18"/>
                <w:szCs w:val="18"/>
                <w:vertAlign w:val="subscript"/>
              </w:rPr>
              <w:t>14f</w:t>
            </w:r>
            <w:r w:rsidRPr="00B97427">
              <w:rPr>
                <w:rFonts w:cs="Times New Roman"/>
                <w:i/>
                <w:color w:val="000000" w:themeColor="text1"/>
                <w:sz w:val="18"/>
                <w:szCs w:val="18"/>
              </w:rPr>
              <w:t>-SgRppA</w:t>
            </w:r>
          </w:p>
        </w:tc>
        <w:tc>
          <w:tcPr>
            <w:tcW w:w="6095" w:type="dxa"/>
          </w:tcPr>
          <w:p w14:paraId="6E71D90F"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Malonyl-CoA platform strain No.3 flaviolin producer </w:t>
            </w:r>
          </w:p>
        </w:tc>
        <w:tc>
          <w:tcPr>
            <w:tcW w:w="2551" w:type="dxa"/>
          </w:tcPr>
          <w:p w14:paraId="20A10F42" w14:textId="77777777" w:rsidR="00AE654E" w:rsidRPr="008441F8" w:rsidRDefault="00AE654E" w:rsidP="000165F5">
            <w:pPr>
              <w:keepNext/>
              <w:jc w:val="both"/>
              <w:rPr>
                <w:sz w:val="18"/>
                <w:lang w:val="en-US"/>
              </w:rPr>
            </w:pPr>
            <w:r w:rsidRPr="008441F8">
              <w:rPr>
                <w:sz w:val="18"/>
                <w:lang w:val="en-US"/>
              </w:rPr>
              <w:t>This study; MiKat#1058</w:t>
            </w:r>
          </w:p>
        </w:tc>
      </w:tr>
      <w:tr w:rsidR="00AE654E" w:rsidRPr="008441F8" w14:paraId="7806BDB6" w14:textId="77777777" w:rsidTr="005B7F65">
        <w:tc>
          <w:tcPr>
            <w:tcW w:w="5524" w:type="dxa"/>
          </w:tcPr>
          <w:p w14:paraId="085B26B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 xml:space="preserve">Δ6MC-II </w:t>
            </w:r>
            <w:r w:rsidRPr="008441F8">
              <w:rPr>
                <w:rFonts w:cstheme="minorHAnsi"/>
                <w:i/>
                <w:color w:val="000000" w:themeColor="text1"/>
                <w:sz w:val="18"/>
                <w:szCs w:val="18"/>
                <w:lang w:val="en-US"/>
              </w:rPr>
              <w:t>attTn7::P</w:t>
            </w:r>
            <w:r w:rsidRPr="008441F8">
              <w:rPr>
                <w:rFonts w:cstheme="minorHAnsi"/>
                <w:i/>
                <w:color w:val="000000" w:themeColor="text1"/>
                <w:sz w:val="18"/>
                <w:szCs w:val="18"/>
                <w:vertAlign w:val="subscript"/>
                <w:lang w:val="en-US"/>
              </w:rPr>
              <w:t>14g</w:t>
            </w:r>
            <w:r w:rsidRPr="008441F8">
              <w:rPr>
                <w:rFonts w:cstheme="minorHAnsi"/>
                <w:i/>
                <w:color w:val="000000" w:themeColor="text1"/>
                <w:sz w:val="18"/>
                <w:szCs w:val="18"/>
                <w:lang w:val="en-US"/>
              </w:rPr>
              <w:t>-his.AhSTS-Sc4CL</w:t>
            </w:r>
            <w:r w:rsidRPr="008441F8">
              <w:rPr>
                <w:rFonts w:cstheme="minorHAnsi"/>
                <w:i/>
                <w:color w:val="000000" w:themeColor="text1"/>
                <w:sz w:val="18"/>
                <w:szCs w:val="18"/>
                <w:vertAlign w:val="superscript"/>
                <w:lang w:val="en-US"/>
              </w:rPr>
              <w:t>A294G</w:t>
            </w:r>
            <w:r w:rsidRPr="008441F8">
              <w:rPr>
                <w:rFonts w:cstheme="minorHAnsi"/>
                <w:i/>
                <w:color w:val="000000" w:themeColor="text1"/>
                <w:sz w:val="18"/>
                <w:szCs w:val="18"/>
                <w:lang w:val="en-US"/>
              </w:rPr>
              <w:t>-AtPAL2</w:t>
            </w:r>
          </w:p>
        </w:tc>
        <w:tc>
          <w:tcPr>
            <w:tcW w:w="6095" w:type="dxa"/>
          </w:tcPr>
          <w:p w14:paraId="2BE9F628"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Malonyl-CoA platform strain No.2 </w:t>
            </w:r>
            <w:r w:rsidRPr="008441F8">
              <w:rPr>
                <w:rFonts w:cstheme="minorHAnsi"/>
                <w:color w:val="000000" w:themeColor="text1"/>
                <w:sz w:val="18"/>
                <w:szCs w:val="18"/>
                <w:lang w:val="en-US"/>
              </w:rPr>
              <w:t>with pinosylvin production module</w:t>
            </w:r>
          </w:p>
        </w:tc>
        <w:tc>
          <w:tcPr>
            <w:tcW w:w="2551" w:type="dxa"/>
          </w:tcPr>
          <w:p w14:paraId="499519AC" w14:textId="77777777" w:rsidR="00AE654E" w:rsidRPr="008441F8" w:rsidRDefault="00AE654E" w:rsidP="000165F5">
            <w:pPr>
              <w:keepNext/>
              <w:jc w:val="both"/>
              <w:rPr>
                <w:sz w:val="18"/>
                <w:lang w:val="en-US"/>
              </w:rPr>
            </w:pPr>
            <w:r w:rsidRPr="008441F8">
              <w:rPr>
                <w:sz w:val="18"/>
                <w:lang w:val="en-US"/>
              </w:rPr>
              <w:t>This study; MiKat#1003</w:t>
            </w:r>
          </w:p>
        </w:tc>
      </w:tr>
      <w:tr w:rsidR="00AE654E" w:rsidRPr="008441F8" w14:paraId="2F8DC992" w14:textId="77777777" w:rsidTr="005B7F65">
        <w:tc>
          <w:tcPr>
            <w:tcW w:w="5524" w:type="dxa"/>
          </w:tcPr>
          <w:p w14:paraId="35A8F457"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 xml:space="preserve">Δ6MC-III </w:t>
            </w:r>
            <w:r w:rsidRPr="008441F8">
              <w:rPr>
                <w:rFonts w:cstheme="minorHAnsi"/>
                <w:i/>
                <w:color w:val="000000" w:themeColor="text1"/>
                <w:sz w:val="18"/>
                <w:szCs w:val="18"/>
                <w:lang w:val="en-US"/>
              </w:rPr>
              <w:t>attTn7::P</w:t>
            </w:r>
            <w:r w:rsidRPr="008441F8">
              <w:rPr>
                <w:rFonts w:cstheme="minorHAnsi"/>
                <w:i/>
                <w:color w:val="000000" w:themeColor="text1"/>
                <w:sz w:val="18"/>
                <w:szCs w:val="18"/>
                <w:vertAlign w:val="subscript"/>
                <w:lang w:val="en-US"/>
              </w:rPr>
              <w:t>14g</w:t>
            </w:r>
            <w:r w:rsidRPr="008441F8">
              <w:rPr>
                <w:rFonts w:cstheme="minorHAnsi"/>
                <w:i/>
                <w:color w:val="000000" w:themeColor="text1"/>
                <w:sz w:val="18"/>
                <w:szCs w:val="18"/>
                <w:lang w:val="en-US"/>
              </w:rPr>
              <w:t>-his.AhSTS-Sc4CL</w:t>
            </w:r>
            <w:r w:rsidRPr="008441F8">
              <w:rPr>
                <w:rFonts w:cstheme="minorHAnsi"/>
                <w:i/>
                <w:color w:val="000000" w:themeColor="text1"/>
                <w:sz w:val="18"/>
                <w:szCs w:val="18"/>
                <w:vertAlign w:val="superscript"/>
                <w:lang w:val="en-US"/>
              </w:rPr>
              <w:t>A294G</w:t>
            </w:r>
            <w:r w:rsidRPr="008441F8">
              <w:rPr>
                <w:rFonts w:cstheme="minorHAnsi"/>
                <w:i/>
                <w:color w:val="000000" w:themeColor="text1"/>
                <w:sz w:val="18"/>
                <w:szCs w:val="18"/>
                <w:lang w:val="en-US"/>
              </w:rPr>
              <w:t>-AtPAL2</w:t>
            </w:r>
          </w:p>
        </w:tc>
        <w:tc>
          <w:tcPr>
            <w:tcW w:w="6095" w:type="dxa"/>
          </w:tcPr>
          <w:p w14:paraId="2DB285F3"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Malonyl-CoA platform strain No.3 </w:t>
            </w:r>
            <w:r w:rsidRPr="008441F8">
              <w:rPr>
                <w:rFonts w:cstheme="minorHAnsi"/>
                <w:color w:val="000000" w:themeColor="text1"/>
                <w:sz w:val="18"/>
                <w:szCs w:val="18"/>
                <w:lang w:val="en-US"/>
              </w:rPr>
              <w:t>with pinosylvin production module</w:t>
            </w:r>
          </w:p>
        </w:tc>
        <w:tc>
          <w:tcPr>
            <w:tcW w:w="2551" w:type="dxa"/>
          </w:tcPr>
          <w:p w14:paraId="34C974AC" w14:textId="77777777" w:rsidR="00AE654E" w:rsidRPr="008441F8" w:rsidRDefault="00AE654E" w:rsidP="000165F5">
            <w:pPr>
              <w:keepNext/>
              <w:jc w:val="both"/>
              <w:rPr>
                <w:sz w:val="18"/>
                <w:lang w:val="en-US"/>
              </w:rPr>
            </w:pPr>
            <w:r w:rsidRPr="008441F8">
              <w:rPr>
                <w:sz w:val="18"/>
                <w:lang w:val="en-US"/>
              </w:rPr>
              <w:t>This study; MiKat#1024</w:t>
            </w:r>
          </w:p>
        </w:tc>
      </w:tr>
      <w:tr w:rsidR="00AE654E" w:rsidRPr="008441F8" w14:paraId="48ECBF29" w14:textId="77777777" w:rsidTr="005B7F65">
        <w:tc>
          <w:tcPr>
            <w:tcW w:w="5524" w:type="dxa"/>
          </w:tcPr>
          <w:p w14:paraId="6D7AACC5"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 xml:space="preserve">Δ6MC-III </w:t>
            </w:r>
            <w:r w:rsidRPr="008441F8">
              <w:rPr>
                <w:rFonts w:cstheme="minorHAnsi"/>
                <w:i/>
                <w:color w:val="000000" w:themeColor="text1"/>
                <w:sz w:val="18"/>
                <w:szCs w:val="18"/>
                <w:lang w:val="en-US"/>
              </w:rPr>
              <w:t>attTn7::P</w:t>
            </w:r>
            <w:r w:rsidRPr="008441F8">
              <w:rPr>
                <w:rFonts w:cstheme="minorHAnsi"/>
                <w:i/>
                <w:color w:val="000000" w:themeColor="text1"/>
                <w:sz w:val="18"/>
                <w:szCs w:val="18"/>
                <w:vertAlign w:val="subscript"/>
                <w:lang w:val="en-US"/>
              </w:rPr>
              <w:t>14g</w:t>
            </w:r>
            <w:r w:rsidRPr="008441F8">
              <w:rPr>
                <w:rFonts w:cstheme="minorHAnsi"/>
                <w:i/>
                <w:color w:val="000000" w:themeColor="text1"/>
                <w:sz w:val="18"/>
                <w:szCs w:val="18"/>
                <w:lang w:val="en-US"/>
              </w:rPr>
              <w:t>-his.AhSTS-Sc4CL</w:t>
            </w:r>
            <w:r w:rsidRPr="008441F8">
              <w:rPr>
                <w:rFonts w:cstheme="minorHAnsi"/>
                <w:i/>
                <w:color w:val="000000" w:themeColor="text1"/>
                <w:sz w:val="18"/>
                <w:szCs w:val="18"/>
                <w:vertAlign w:val="superscript"/>
                <w:lang w:val="en-US"/>
              </w:rPr>
              <w:t>A294G</w:t>
            </w:r>
            <w:r w:rsidRPr="008441F8">
              <w:rPr>
                <w:rFonts w:cstheme="minorHAnsi"/>
                <w:i/>
                <w:color w:val="000000" w:themeColor="text1"/>
                <w:sz w:val="18"/>
                <w:szCs w:val="18"/>
                <w:lang w:val="en-US"/>
              </w:rPr>
              <w:t>-StsTAL</w:t>
            </w:r>
          </w:p>
        </w:tc>
        <w:tc>
          <w:tcPr>
            <w:tcW w:w="6095" w:type="dxa"/>
          </w:tcPr>
          <w:p w14:paraId="1642ED64"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Malonyl-CoA platform strain No.3 </w:t>
            </w:r>
            <w:r w:rsidRPr="008441F8">
              <w:rPr>
                <w:rFonts w:cstheme="minorHAnsi"/>
                <w:color w:val="000000" w:themeColor="text1"/>
                <w:sz w:val="18"/>
                <w:szCs w:val="18"/>
                <w:lang w:val="en-US"/>
              </w:rPr>
              <w:t>with resveratrol production module</w:t>
            </w:r>
          </w:p>
        </w:tc>
        <w:tc>
          <w:tcPr>
            <w:tcW w:w="2551" w:type="dxa"/>
          </w:tcPr>
          <w:p w14:paraId="2099D77E" w14:textId="77777777" w:rsidR="00AE654E" w:rsidRPr="008441F8" w:rsidRDefault="00AE654E" w:rsidP="000165F5">
            <w:pPr>
              <w:keepNext/>
              <w:jc w:val="both"/>
              <w:rPr>
                <w:sz w:val="18"/>
                <w:lang w:val="en-US"/>
              </w:rPr>
            </w:pPr>
            <w:r w:rsidRPr="008441F8">
              <w:rPr>
                <w:sz w:val="18"/>
                <w:lang w:val="en-US"/>
              </w:rPr>
              <w:t>This study; MiKat#1127</w:t>
            </w:r>
          </w:p>
        </w:tc>
      </w:tr>
      <w:tr w:rsidR="00AE654E" w:rsidRPr="008441F8" w14:paraId="33815D61" w14:textId="77777777" w:rsidTr="005B7F65">
        <w:tc>
          <w:tcPr>
            <w:tcW w:w="5524" w:type="dxa"/>
          </w:tcPr>
          <w:p w14:paraId="3D6E5F30"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 xml:space="preserve">Δ6MC-III </w:t>
            </w:r>
            <w:r w:rsidRPr="008441F8">
              <w:rPr>
                <w:rFonts w:cstheme="minorHAnsi"/>
                <w:i/>
                <w:iCs/>
                <w:color w:val="000000" w:themeColor="text1"/>
                <w:sz w:val="18"/>
                <w:szCs w:val="18"/>
                <w:lang w:val="en-US"/>
              </w:rPr>
              <w:t>aroF-1</w:t>
            </w:r>
            <w:r w:rsidRPr="008441F8">
              <w:rPr>
                <w:rFonts w:cstheme="minorHAnsi"/>
                <w:i/>
                <w:color w:val="000000" w:themeColor="text1"/>
                <w:sz w:val="18"/>
                <w:szCs w:val="18"/>
                <w:vertAlign w:val="superscript"/>
                <w:lang w:val="en-US"/>
              </w:rPr>
              <w:t>P148L</w:t>
            </w:r>
          </w:p>
        </w:tc>
        <w:tc>
          <w:tcPr>
            <w:tcW w:w="6095" w:type="dxa"/>
          </w:tcPr>
          <w:p w14:paraId="4E467F5E"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Malonyl-CoA platform strain No.3 aroF-1 mutant</w:t>
            </w:r>
          </w:p>
        </w:tc>
        <w:tc>
          <w:tcPr>
            <w:tcW w:w="2551" w:type="dxa"/>
          </w:tcPr>
          <w:p w14:paraId="01910534" w14:textId="77777777" w:rsidR="00AE654E" w:rsidRPr="008441F8" w:rsidRDefault="00AE654E" w:rsidP="000165F5">
            <w:pPr>
              <w:keepNext/>
              <w:jc w:val="both"/>
              <w:rPr>
                <w:sz w:val="18"/>
                <w:lang w:val="en-US"/>
              </w:rPr>
            </w:pPr>
            <w:r w:rsidRPr="008441F8">
              <w:rPr>
                <w:sz w:val="18"/>
                <w:lang w:val="en-US"/>
              </w:rPr>
              <w:t>This study; MiKat#1151</w:t>
            </w:r>
          </w:p>
        </w:tc>
      </w:tr>
      <w:tr w:rsidR="00AE654E" w:rsidRPr="008441F8" w14:paraId="154ABCB3" w14:textId="77777777" w:rsidTr="005B7F65">
        <w:tc>
          <w:tcPr>
            <w:tcW w:w="5524" w:type="dxa"/>
          </w:tcPr>
          <w:p w14:paraId="04E822A4"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 xml:space="preserve">Δ6MC-III </w:t>
            </w:r>
            <w:r w:rsidRPr="008441F8">
              <w:rPr>
                <w:rFonts w:cstheme="minorHAnsi"/>
                <w:i/>
                <w:iCs/>
                <w:color w:val="000000" w:themeColor="text1"/>
                <w:sz w:val="18"/>
                <w:szCs w:val="18"/>
                <w:lang w:val="en-US"/>
              </w:rPr>
              <w:t>aroF-1</w:t>
            </w:r>
            <w:r w:rsidRPr="008441F8">
              <w:rPr>
                <w:rFonts w:cstheme="minorHAnsi"/>
                <w:i/>
                <w:color w:val="000000" w:themeColor="text1"/>
                <w:sz w:val="18"/>
                <w:szCs w:val="18"/>
                <w:vertAlign w:val="superscript"/>
                <w:lang w:val="en-US"/>
              </w:rPr>
              <w:t>P148L</w:t>
            </w:r>
            <w:r w:rsidRPr="008441F8">
              <w:rPr>
                <w:rFonts w:cstheme="minorHAnsi"/>
                <w:color w:val="000000" w:themeColor="text1"/>
                <w:sz w:val="18"/>
                <w:szCs w:val="18"/>
                <w:lang w:val="en-US"/>
              </w:rPr>
              <w:t xml:space="preserve"> </w:t>
            </w:r>
            <w:r w:rsidRPr="008441F8">
              <w:rPr>
                <w:rFonts w:cstheme="minorHAnsi"/>
                <w:i/>
                <w:color w:val="000000" w:themeColor="text1"/>
                <w:sz w:val="18"/>
                <w:szCs w:val="18"/>
                <w:lang w:val="en-US"/>
              </w:rPr>
              <w:t>attTn7::P</w:t>
            </w:r>
            <w:r w:rsidRPr="008441F8">
              <w:rPr>
                <w:rFonts w:cstheme="minorHAnsi"/>
                <w:i/>
                <w:color w:val="000000" w:themeColor="text1"/>
                <w:sz w:val="18"/>
                <w:szCs w:val="18"/>
                <w:vertAlign w:val="subscript"/>
                <w:lang w:val="en-US"/>
              </w:rPr>
              <w:t>14g</w:t>
            </w:r>
            <w:r w:rsidRPr="008441F8">
              <w:rPr>
                <w:rFonts w:cstheme="minorHAnsi"/>
                <w:i/>
                <w:color w:val="000000" w:themeColor="text1"/>
                <w:sz w:val="18"/>
                <w:szCs w:val="18"/>
                <w:lang w:val="en-US"/>
              </w:rPr>
              <w:t>-his.AhSTS-Sc4CL</w:t>
            </w:r>
            <w:r w:rsidRPr="008441F8">
              <w:rPr>
                <w:rFonts w:cstheme="minorHAnsi"/>
                <w:i/>
                <w:color w:val="000000" w:themeColor="text1"/>
                <w:sz w:val="18"/>
                <w:szCs w:val="18"/>
                <w:vertAlign w:val="superscript"/>
                <w:lang w:val="en-US"/>
              </w:rPr>
              <w:t>A294G</w:t>
            </w:r>
            <w:r w:rsidRPr="008441F8">
              <w:rPr>
                <w:rFonts w:cstheme="minorHAnsi"/>
                <w:i/>
                <w:color w:val="000000" w:themeColor="text1"/>
                <w:sz w:val="18"/>
                <w:szCs w:val="18"/>
                <w:lang w:val="en-US"/>
              </w:rPr>
              <w:t>-AtPAL2</w:t>
            </w:r>
          </w:p>
        </w:tc>
        <w:tc>
          <w:tcPr>
            <w:tcW w:w="6095" w:type="dxa"/>
          </w:tcPr>
          <w:p w14:paraId="5885A8BC"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Malonyl-CoA platform strain No.3 aroF-1 mutant; </w:t>
            </w:r>
            <w:r w:rsidRPr="008441F8">
              <w:rPr>
                <w:rFonts w:cstheme="minorHAnsi"/>
                <w:color w:val="000000" w:themeColor="text1"/>
                <w:sz w:val="18"/>
                <w:szCs w:val="18"/>
                <w:lang w:val="en-US"/>
              </w:rPr>
              <w:t>with pinosylvin production module</w:t>
            </w:r>
          </w:p>
        </w:tc>
        <w:tc>
          <w:tcPr>
            <w:tcW w:w="2551" w:type="dxa"/>
          </w:tcPr>
          <w:p w14:paraId="1AA70A81" w14:textId="77777777" w:rsidR="00AE654E" w:rsidRPr="008441F8" w:rsidRDefault="00AE654E" w:rsidP="000165F5">
            <w:pPr>
              <w:keepNext/>
              <w:jc w:val="both"/>
              <w:rPr>
                <w:sz w:val="18"/>
                <w:lang w:val="en-US"/>
              </w:rPr>
            </w:pPr>
            <w:r w:rsidRPr="008441F8">
              <w:rPr>
                <w:sz w:val="18"/>
                <w:lang w:val="en-US"/>
              </w:rPr>
              <w:t>This study; MiKat#1628</w:t>
            </w:r>
          </w:p>
        </w:tc>
      </w:tr>
      <w:tr w:rsidR="00AE654E" w:rsidRPr="008441F8" w14:paraId="03263DE0" w14:textId="77777777" w:rsidTr="005B7F65">
        <w:tc>
          <w:tcPr>
            <w:tcW w:w="5524" w:type="dxa"/>
          </w:tcPr>
          <w:p w14:paraId="6F35DD97"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GRC3 </w:t>
            </w:r>
            <w:r w:rsidRPr="008441F8">
              <w:rPr>
                <w:rFonts w:cstheme="minorHAnsi"/>
                <w:color w:val="000000" w:themeColor="text1"/>
                <w:sz w:val="18"/>
                <w:szCs w:val="18"/>
                <w:lang w:val="en-US"/>
              </w:rPr>
              <w:t xml:space="preserve">Δ6MC-III </w:t>
            </w:r>
            <w:r w:rsidRPr="008441F8">
              <w:rPr>
                <w:rFonts w:cstheme="minorHAnsi"/>
                <w:i/>
                <w:iCs/>
                <w:color w:val="000000" w:themeColor="text1"/>
                <w:sz w:val="18"/>
                <w:szCs w:val="18"/>
                <w:lang w:val="en-US"/>
              </w:rPr>
              <w:t>aroF-1</w:t>
            </w:r>
            <w:r w:rsidRPr="008441F8">
              <w:rPr>
                <w:rFonts w:cstheme="minorHAnsi"/>
                <w:i/>
                <w:color w:val="000000" w:themeColor="text1"/>
                <w:sz w:val="18"/>
                <w:szCs w:val="18"/>
                <w:vertAlign w:val="superscript"/>
                <w:lang w:val="en-US"/>
              </w:rPr>
              <w:t>P148L</w:t>
            </w:r>
            <w:r w:rsidRPr="008441F8">
              <w:rPr>
                <w:rFonts w:cstheme="minorHAnsi"/>
                <w:color w:val="000000" w:themeColor="text1"/>
                <w:sz w:val="18"/>
                <w:szCs w:val="18"/>
                <w:lang w:val="en-US"/>
              </w:rPr>
              <w:t xml:space="preserve"> </w:t>
            </w:r>
            <w:r w:rsidRPr="008441F8">
              <w:rPr>
                <w:rFonts w:cstheme="minorHAnsi"/>
                <w:i/>
                <w:color w:val="000000" w:themeColor="text1"/>
                <w:sz w:val="18"/>
                <w:szCs w:val="18"/>
                <w:lang w:val="en-US"/>
              </w:rPr>
              <w:t>attTn7::P</w:t>
            </w:r>
            <w:r w:rsidRPr="008441F8">
              <w:rPr>
                <w:rFonts w:cstheme="minorHAnsi"/>
                <w:i/>
                <w:color w:val="000000" w:themeColor="text1"/>
                <w:sz w:val="18"/>
                <w:szCs w:val="18"/>
                <w:vertAlign w:val="subscript"/>
                <w:lang w:val="en-US"/>
              </w:rPr>
              <w:t>14g</w:t>
            </w:r>
            <w:r w:rsidRPr="008441F8">
              <w:rPr>
                <w:rFonts w:cstheme="minorHAnsi"/>
                <w:i/>
                <w:color w:val="000000" w:themeColor="text1"/>
                <w:sz w:val="18"/>
                <w:szCs w:val="18"/>
                <w:lang w:val="en-US"/>
              </w:rPr>
              <w:t>-his.AhSTS-Sc4CL</w:t>
            </w:r>
            <w:r w:rsidRPr="008441F8">
              <w:rPr>
                <w:rFonts w:cstheme="minorHAnsi"/>
                <w:i/>
                <w:color w:val="000000" w:themeColor="text1"/>
                <w:sz w:val="18"/>
                <w:szCs w:val="18"/>
                <w:vertAlign w:val="superscript"/>
                <w:lang w:val="en-US"/>
              </w:rPr>
              <w:t>A294G</w:t>
            </w:r>
            <w:r w:rsidRPr="008441F8">
              <w:rPr>
                <w:rFonts w:cstheme="minorHAnsi"/>
                <w:i/>
                <w:color w:val="000000" w:themeColor="text1"/>
                <w:sz w:val="18"/>
                <w:szCs w:val="18"/>
                <w:lang w:val="en-US"/>
              </w:rPr>
              <w:t>-StsTAL</w:t>
            </w:r>
          </w:p>
        </w:tc>
        <w:tc>
          <w:tcPr>
            <w:tcW w:w="6095" w:type="dxa"/>
          </w:tcPr>
          <w:p w14:paraId="0082DD66" w14:textId="77777777" w:rsidR="00AE654E" w:rsidRPr="008441F8" w:rsidRDefault="00AE654E" w:rsidP="000165F5">
            <w:pPr>
              <w:rPr>
                <w:rFonts w:cs="Times New Roman"/>
                <w:color w:val="000000" w:themeColor="text1"/>
                <w:sz w:val="18"/>
                <w:szCs w:val="18"/>
                <w:lang w:val="en-US"/>
              </w:rPr>
            </w:pPr>
            <w:r w:rsidRPr="008441F8">
              <w:rPr>
                <w:rFonts w:cs="Times New Roman"/>
                <w:color w:val="000000" w:themeColor="text1"/>
                <w:sz w:val="18"/>
                <w:szCs w:val="18"/>
                <w:lang w:val="en-US"/>
              </w:rPr>
              <w:t xml:space="preserve">Malonyl-CoA platform strain No.3 aroF-1 mutant </w:t>
            </w:r>
            <w:r w:rsidRPr="008441F8">
              <w:rPr>
                <w:rFonts w:cstheme="minorHAnsi"/>
                <w:color w:val="000000" w:themeColor="text1"/>
                <w:sz w:val="18"/>
                <w:szCs w:val="18"/>
                <w:lang w:val="en-US"/>
              </w:rPr>
              <w:t>with resveratrol production module</w:t>
            </w:r>
          </w:p>
        </w:tc>
        <w:tc>
          <w:tcPr>
            <w:tcW w:w="2551" w:type="dxa"/>
          </w:tcPr>
          <w:p w14:paraId="37744921" w14:textId="77777777" w:rsidR="00AE654E" w:rsidRPr="008441F8" w:rsidRDefault="00AE654E" w:rsidP="000165F5">
            <w:pPr>
              <w:keepNext/>
              <w:jc w:val="both"/>
              <w:rPr>
                <w:sz w:val="18"/>
                <w:lang w:val="en-US"/>
              </w:rPr>
            </w:pPr>
            <w:r w:rsidRPr="008441F8">
              <w:rPr>
                <w:sz w:val="18"/>
                <w:lang w:val="en-US"/>
              </w:rPr>
              <w:t>This study; MiKat#1629</w:t>
            </w:r>
          </w:p>
        </w:tc>
      </w:tr>
    </w:tbl>
    <w:p w14:paraId="6D2072DE" w14:textId="77777777" w:rsidR="00AE654E" w:rsidRPr="008441F8" w:rsidRDefault="00AE654E" w:rsidP="00B84A00">
      <w:pPr>
        <w:spacing w:line="276" w:lineRule="auto"/>
        <w:jc w:val="both"/>
        <w:rPr>
          <w:lang w:val="en-US"/>
        </w:rPr>
      </w:pPr>
    </w:p>
    <w:p w14:paraId="10E3AD35" w14:textId="77777777" w:rsidR="00AE654E" w:rsidRPr="008441F8" w:rsidRDefault="00AE654E" w:rsidP="00B84A00">
      <w:pPr>
        <w:spacing w:line="276" w:lineRule="auto"/>
        <w:rPr>
          <w:lang w:val="en-US"/>
        </w:rPr>
      </w:pPr>
      <w:r w:rsidRPr="008441F8">
        <w:rPr>
          <w:lang w:val="en-US"/>
        </w:rPr>
        <w:br w:type="page"/>
      </w:r>
    </w:p>
    <w:p w14:paraId="09788CB8" w14:textId="77777777" w:rsidR="00AE654E" w:rsidRPr="008441F8" w:rsidRDefault="00AE654E" w:rsidP="00B84A00">
      <w:pPr>
        <w:pStyle w:val="berschrift2"/>
        <w:spacing w:line="276" w:lineRule="auto"/>
        <w:rPr>
          <w:lang w:val="en-US"/>
        </w:rPr>
      </w:pPr>
      <w:bookmarkStart w:id="5" w:name="_Toc132047259"/>
      <w:r w:rsidRPr="008441F8">
        <w:rPr>
          <w:b/>
          <w:lang w:val="en-US"/>
        </w:rPr>
        <w:lastRenderedPageBreak/>
        <w:t>Table S2:</w:t>
      </w:r>
      <w:r w:rsidRPr="008441F8">
        <w:rPr>
          <w:lang w:val="en-US"/>
        </w:rPr>
        <w:t xml:space="preserve"> Plasmids used in this study</w:t>
      </w:r>
      <w:bookmarkEnd w:id="5"/>
    </w:p>
    <w:tbl>
      <w:tblPr>
        <w:tblStyle w:val="Tabellenraster"/>
        <w:tblW w:w="14170" w:type="dxa"/>
        <w:tblLook w:val="04A0" w:firstRow="1" w:lastRow="0" w:firstColumn="1" w:lastColumn="0" w:noHBand="0" w:noVBand="1"/>
      </w:tblPr>
      <w:tblGrid>
        <w:gridCol w:w="2547"/>
        <w:gridCol w:w="4961"/>
        <w:gridCol w:w="4678"/>
        <w:gridCol w:w="1984"/>
      </w:tblGrid>
      <w:tr w:rsidR="00AE654E" w:rsidRPr="008441F8" w14:paraId="0C825E4F" w14:textId="77777777" w:rsidTr="005B7F65">
        <w:tc>
          <w:tcPr>
            <w:tcW w:w="2547" w:type="dxa"/>
          </w:tcPr>
          <w:p w14:paraId="70BB26BD" w14:textId="77777777" w:rsidR="00AE654E" w:rsidRPr="008441F8" w:rsidRDefault="00AE654E" w:rsidP="000165F5">
            <w:pPr>
              <w:jc w:val="both"/>
              <w:rPr>
                <w:b/>
                <w:sz w:val="18"/>
                <w:szCs w:val="18"/>
                <w:lang w:val="en-US"/>
              </w:rPr>
            </w:pPr>
            <w:r w:rsidRPr="008441F8">
              <w:rPr>
                <w:b/>
                <w:sz w:val="18"/>
                <w:szCs w:val="18"/>
                <w:lang w:val="en-US"/>
              </w:rPr>
              <w:t>Plasmid</w:t>
            </w:r>
          </w:p>
        </w:tc>
        <w:tc>
          <w:tcPr>
            <w:tcW w:w="4961" w:type="dxa"/>
          </w:tcPr>
          <w:p w14:paraId="56CA0DD4" w14:textId="77777777" w:rsidR="00AE654E" w:rsidRPr="008441F8" w:rsidRDefault="00AE654E" w:rsidP="000165F5">
            <w:pPr>
              <w:jc w:val="both"/>
              <w:rPr>
                <w:b/>
                <w:sz w:val="18"/>
                <w:szCs w:val="18"/>
                <w:lang w:val="en-US"/>
              </w:rPr>
            </w:pPr>
            <w:r w:rsidRPr="008441F8">
              <w:rPr>
                <w:b/>
                <w:sz w:val="18"/>
                <w:szCs w:val="18"/>
                <w:lang w:val="en-US"/>
              </w:rPr>
              <w:t>Relevant characteristics</w:t>
            </w:r>
          </w:p>
        </w:tc>
        <w:tc>
          <w:tcPr>
            <w:tcW w:w="4678" w:type="dxa"/>
          </w:tcPr>
          <w:p w14:paraId="208170E2" w14:textId="77777777" w:rsidR="00AE654E" w:rsidRPr="008441F8" w:rsidRDefault="00AE654E" w:rsidP="000165F5">
            <w:pPr>
              <w:jc w:val="both"/>
              <w:rPr>
                <w:b/>
                <w:sz w:val="18"/>
                <w:szCs w:val="18"/>
                <w:lang w:val="en-US"/>
              </w:rPr>
            </w:pPr>
            <w:r w:rsidRPr="008441F8">
              <w:rPr>
                <w:b/>
                <w:sz w:val="18"/>
                <w:szCs w:val="18"/>
                <w:lang w:val="en-US"/>
              </w:rPr>
              <w:t>HiFi assembly note</w:t>
            </w:r>
          </w:p>
        </w:tc>
        <w:tc>
          <w:tcPr>
            <w:tcW w:w="1984" w:type="dxa"/>
          </w:tcPr>
          <w:p w14:paraId="20D4530A" w14:textId="77777777" w:rsidR="00AE654E" w:rsidRPr="008441F8" w:rsidRDefault="00AE654E" w:rsidP="000165F5">
            <w:pPr>
              <w:jc w:val="both"/>
              <w:rPr>
                <w:b/>
                <w:sz w:val="18"/>
                <w:szCs w:val="18"/>
                <w:lang w:val="en-US"/>
              </w:rPr>
            </w:pPr>
            <w:r w:rsidRPr="008441F8">
              <w:rPr>
                <w:b/>
                <w:sz w:val="18"/>
                <w:szCs w:val="18"/>
                <w:lang w:val="en-US"/>
              </w:rPr>
              <w:t>Reference &amp; No.</w:t>
            </w:r>
          </w:p>
        </w:tc>
      </w:tr>
      <w:tr w:rsidR="00AE654E" w:rsidRPr="008441F8" w14:paraId="5FC47ADB" w14:textId="77777777" w:rsidTr="005B7F65">
        <w:tc>
          <w:tcPr>
            <w:tcW w:w="2547" w:type="dxa"/>
          </w:tcPr>
          <w:p w14:paraId="0068AE9B" w14:textId="77777777" w:rsidR="00AE654E" w:rsidRPr="008441F8" w:rsidRDefault="00AE654E" w:rsidP="000165F5">
            <w:pPr>
              <w:jc w:val="both"/>
              <w:rPr>
                <w:sz w:val="18"/>
                <w:szCs w:val="18"/>
                <w:lang w:val="en-US"/>
              </w:rPr>
            </w:pPr>
            <w:r w:rsidRPr="008441F8">
              <w:rPr>
                <w:sz w:val="18"/>
                <w:szCs w:val="18"/>
                <w:lang w:val="en-US"/>
              </w:rPr>
              <w:t>pTNS1</w:t>
            </w:r>
          </w:p>
        </w:tc>
        <w:tc>
          <w:tcPr>
            <w:tcW w:w="4961" w:type="dxa"/>
          </w:tcPr>
          <w:p w14:paraId="4AFF22BC" w14:textId="77777777" w:rsidR="00AE654E" w:rsidRPr="008441F8" w:rsidRDefault="00AE654E" w:rsidP="000165F5">
            <w:pPr>
              <w:jc w:val="both"/>
              <w:rPr>
                <w:sz w:val="18"/>
                <w:szCs w:val="18"/>
                <w:lang w:val="en-US"/>
              </w:rPr>
            </w:pPr>
            <w:r w:rsidRPr="008441F8">
              <w:rPr>
                <w:rFonts w:ascii="Calibri" w:hAnsi="Calibri" w:cs="Calibri"/>
                <w:sz w:val="18"/>
                <w:szCs w:val="18"/>
                <w:lang w:val="en-US"/>
              </w:rPr>
              <w:t>Amp</w:t>
            </w:r>
            <w:r w:rsidRPr="008441F8">
              <w:rPr>
                <w:rFonts w:ascii="Calibri" w:hAnsi="Calibri" w:cs="Calibri"/>
                <w:sz w:val="18"/>
                <w:szCs w:val="18"/>
                <w:vertAlign w:val="superscript"/>
                <w:lang w:val="en-US"/>
              </w:rPr>
              <w:t>R</w:t>
            </w:r>
            <w:r w:rsidRPr="008441F8">
              <w:rPr>
                <w:rFonts w:ascii="Calibri" w:hAnsi="Calibri" w:cs="Calibri"/>
                <w:sz w:val="18"/>
                <w:szCs w:val="18"/>
                <w:lang w:val="en-US"/>
              </w:rPr>
              <w:t xml:space="preserve">, </w:t>
            </w:r>
            <w:r w:rsidRPr="008441F8">
              <w:rPr>
                <w:rFonts w:ascii="Calibri" w:hAnsi="Calibri" w:cs="Calibri"/>
                <w:i/>
                <w:sz w:val="18"/>
                <w:szCs w:val="18"/>
                <w:lang w:val="en-US"/>
              </w:rPr>
              <w:t>oriV(R6K)</w:t>
            </w:r>
            <w:r w:rsidRPr="008441F8">
              <w:rPr>
                <w:rFonts w:ascii="Calibri" w:hAnsi="Calibri" w:cs="Calibri"/>
                <w:sz w:val="18"/>
                <w:szCs w:val="18"/>
                <w:lang w:val="en-US"/>
              </w:rPr>
              <w:t>, TnSABC+D operon</w:t>
            </w:r>
          </w:p>
        </w:tc>
        <w:tc>
          <w:tcPr>
            <w:tcW w:w="4678" w:type="dxa"/>
          </w:tcPr>
          <w:p w14:paraId="38E46981" w14:textId="77777777" w:rsidR="00AE654E" w:rsidRPr="008441F8" w:rsidRDefault="00AE654E" w:rsidP="000165F5">
            <w:pPr>
              <w:jc w:val="both"/>
              <w:rPr>
                <w:sz w:val="18"/>
                <w:szCs w:val="18"/>
                <w:lang w:val="en-US"/>
              </w:rPr>
            </w:pPr>
            <w:r w:rsidRPr="008441F8">
              <w:rPr>
                <w:sz w:val="18"/>
                <w:szCs w:val="18"/>
                <w:lang w:val="en-US"/>
              </w:rPr>
              <w:t>-</w:t>
            </w:r>
          </w:p>
        </w:tc>
        <w:tc>
          <w:tcPr>
            <w:tcW w:w="1984" w:type="dxa"/>
          </w:tcPr>
          <w:p w14:paraId="2DB04E9C"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{"citationItems":[{"id":"ITEM-1","itemData":{"DOI":"10.1038/nmeth765","ISSN":"15487091","abstract":"For many bacteria, cloning and expression systems are either scarce or nonexistent. We constructed several mini-Tn7 vectors and evaluated their potential as broad-range cloning and expression systems. In bacteria with a single chromosome, including Pseudomonas aeruginosa, Pseudomonas putida and Yersinia pestis, and in the presence of a helper plasmid encoding the site-specific transposition pathway, site- and orientation-specific Tn7 insertions occurred at a single attTn7 site downstream of the glmS gene. Burkholderia thailandensis contains two chromosomes, each containing a glmS gene and an attTn7 site. The Tn7 system allows engineering of diverse genetic traits into bacteria, as demonstrated by complementing a biofilm-growth defect of P. aeruginosa, establishing expression systems in P. aeruginosa and P. putida, and 'GFP-tagging' Y. pestis. This system will thus have widespread biomedical and environmental applications, especially in environments where plasmids and antibiotic selection are not feasible, namely in plant and animal models or biofilms.","author":[{"dropping-particle":"","family":"Choi","given":"Kyoung Hee","non-dropping-particle":"","parse-names":false,"suffix":""},{"dropping-particle":"","family":"Gaynor","given":"Jared B.","non-dropping-particle":"","parse-names":false,"suffix":""},{"dropping-particle":"","family":"White","given":"Kimberly G.","non-dropping-particle":"","parse-names":false,"suffix":""},{"dropping-particle":"","family":"Lopez","given":"Carolina","non-dropping-particle":"","parse-names":false,"suffix":""},{"dropping-particle":"","family":"Bosio","given":"Catharine M.","non-dropping-particle":"","parse-names":false,"suffix":""},{"dropping-particle":"","family":"Karkhoff-Schweizer","given":"Rox Ann R.","non-dropping-particle":"","parse-names":false,"suffix":""},{"dropping-particle":"","family":"Schweizer","given":"Herbert P.","non-dropping-particle":"","parse-names":false,"suffix":""}],"container-title":"Nature Methods","id":"ITEM-1","issue":"6","issued":{"date-parts":[["2005"]]},"page":"443-448","title":"A Tn7-based broad-range bacterial cloning and expression system","type":"article-journal","volume":"2"},"uris":["http://www.mendeley.com/documents/?uuid=6045c079-94ed-4705-a5d6-37a81124725d"]}],"mendeley":{"formattedCitation":"(Choi et al., 2005)","manualFormatting":"Choi et al. (2005)","plainTextFormattedCitation":"(Choi et al., 2005)","previouslyFormattedCitation":"(Choi et al., 2005)"},"properties":{"noteIndex":0},"schema":"https://github.com/citation-style-language/schema/raw/master/csl-citation.json"}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Choi et al. (2005)</w:t>
            </w:r>
            <w:r w:rsidRPr="008441F8">
              <w:rPr>
                <w:sz w:val="18"/>
                <w:szCs w:val="18"/>
                <w:lang w:val="en-US"/>
              </w:rPr>
              <w:fldChar w:fldCharType="end"/>
            </w:r>
          </w:p>
        </w:tc>
      </w:tr>
      <w:tr w:rsidR="00AE654E" w:rsidRPr="008441F8" w14:paraId="210E6A53" w14:textId="77777777" w:rsidTr="005B7F65">
        <w:tc>
          <w:tcPr>
            <w:tcW w:w="2547" w:type="dxa"/>
          </w:tcPr>
          <w:p w14:paraId="0FAA08A4" w14:textId="77777777" w:rsidR="00AE654E" w:rsidRPr="008441F8" w:rsidRDefault="00AE654E" w:rsidP="000165F5">
            <w:pPr>
              <w:jc w:val="both"/>
              <w:rPr>
                <w:sz w:val="18"/>
                <w:szCs w:val="18"/>
                <w:lang w:val="en-US"/>
              </w:rPr>
            </w:pPr>
            <w:r w:rsidRPr="008441F8">
              <w:rPr>
                <w:sz w:val="18"/>
                <w:szCs w:val="18"/>
                <w:lang w:val="en-US"/>
              </w:rPr>
              <w:t>pBBFLP</w:t>
            </w:r>
          </w:p>
        </w:tc>
        <w:tc>
          <w:tcPr>
            <w:tcW w:w="4961" w:type="dxa"/>
          </w:tcPr>
          <w:p w14:paraId="091A3055"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plasmid for antibiotic markers excision in </w:t>
            </w:r>
            <w:r w:rsidRPr="008441F8">
              <w:rPr>
                <w:rFonts w:ascii="Calibri" w:hAnsi="Calibri" w:cs="Calibri"/>
                <w:i/>
                <w:sz w:val="18"/>
                <w:szCs w:val="18"/>
                <w:lang w:val="en-US"/>
              </w:rPr>
              <w:t>P. putida</w:t>
            </w:r>
            <w:r w:rsidRPr="008441F8">
              <w:rPr>
                <w:rFonts w:ascii="Calibri" w:hAnsi="Calibri" w:cs="Calibri"/>
                <w:sz w:val="18"/>
                <w:szCs w:val="18"/>
                <w:lang w:val="en-US"/>
              </w:rPr>
              <w:t xml:space="preserve"> strains; Tc</w:t>
            </w:r>
            <w:r w:rsidRPr="008441F8">
              <w:rPr>
                <w:rFonts w:ascii="Calibri" w:hAnsi="Calibri" w:cs="Calibri"/>
                <w:sz w:val="18"/>
                <w:szCs w:val="18"/>
                <w:vertAlign w:val="superscript"/>
                <w:lang w:val="en-US"/>
              </w:rPr>
              <w:t>R</w:t>
            </w:r>
            <w:r w:rsidRPr="008441F8">
              <w:rPr>
                <w:rFonts w:ascii="Calibri" w:hAnsi="Calibri" w:cs="Calibri"/>
                <w:sz w:val="18"/>
                <w:szCs w:val="18"/>
                <w:lang w:val="en-US"/>
              </w:rPr>
              <w:t xml:space="preserve">, </w:t>
            </w:r>
            <w:r w:rsidRPr="008441F8">
              <w:rPr>
                <w:rFonts w:ascii="Calibri" w:hAnsi="Calibri" w:cs="Calibri"/>
                <w:i/>
                <w:sz w:val="18"/>
                <w:szCs w:val="18"/>
                <w:lang w:val="en-US"/>
              </w:rPr>
              <w:t>oriV</w:t>
            </w:r>
            <w:r w:rsidRPr="008441F8">
              <w:rPr>
                <w:rFonts w:ascii="Calibri" w:hAnsi="Calibri" w:cs="Calibri"/>
                <w:sz w:val="18"/>
                <w:szCs w:val="18"/>
                <w:lang w:val="en-US"/>
              </w:rPr>
              <w:t xml:space="preserve">(pBBR1) </w:t>
            </w:r>
            <w:r w:rsidRPr="008441F8">
              <w:rPr>
                <w:rFonts w:ascii="Calibri" w:hAnsi="Calibri" w:cs="Calibri"/>
                <w:i/>
                <w:sz w:val="18"/>
                <w:szCs w:val="18"/>
                <w:lang w:val="en-US"/>
              </w:rPr>
              <w:t>oriT</w:t>
            </w:r>
            <w:r w:rsidRPr="008441F8">
              <w:rPr>
                <w:rFonts w:ascii="Calibri" w:hAnsi="Calibri" w:cs="Calibri"/>
                <w:sz w:val="18"/>
                <w:szCs w:val="18"/>
                <w:lang w:val="en-US"/>
              </w:rPr>
              <w:t>(RK2) mob</w:t>
            </w:r>
            <w:r w:rsidRPr="008441F8">
              <w:rPr>
                <w:rFonts w:ascii="Calibri" w:hAnsi="Calibri" w:cs="Calibri"/>
                <w:sz w:val="18"/>
                <w:szCs w:val="18"/>
                <w:vertAlign w:val="superscript"/>
                <w:lang w:val="en-US"/>
              </w:rPr>
              <w:t>+</w:t>
            </w:r>
            <w:r w:rsidRPr="008441F8">
              <w:rPr>
                <w:rFonts w:ascii="Calibri" w:hAnsi="Calibri" w:cs="Calibri"/>
                <w:sz w:val="18"/>
                <w:szCs w:val="18"/>
                <w:lang w:val="en-US"/>
              </w:rPr>
              <w:t xml:space="preserve"> λP</w:t>
            </w:r>
            <w:r w:rsidRPr="008441F8">
              <w:rPr>
                <w:rFonts w:ascii="Calibri" w:hAnsi="Calibri" w:cs="Calibri"/>
                <w:sz w:val="18"/>
                <w:szCs w:val="18"/>
                <w:vertAlign w:val="subscript"/>
                <w:lang w:val="en-US"/>
              </w:rPr>
              <w:t>R</w:t>
            </w:r>
            <w:r w:rsidRPr="008441F8">
              <w:rPr>
                <w:rFonts w:ascii="Calibri" w:hAnsi="Calibri" w:cs="Calibri"/>
                <w:sz w:val="18"/>
                <w:szCs w:val="18"/>
                <w:lang w:val="en-US"/>
              </w:rPr>
              <w:t xml:space="preserve">::FLP λ(cI857) </w:t>
            </w:r>
            <w:r w:rsidRPr="008441F8">
              <w:rPr>
                <w:rFonts w:ascii="Calibri" w:hAnsi="Calibri" w:cs="Calibri"/>
                <w:i/>
                <w:sz w:val="18"/>
                <w:szCs w:val="18"/>
                <w:lang w:val="en-US"/>
              </w:rPr>
              <w:t>sacB</w:t>
            </w:r>
            <w:r w:rsidRPr="008441F8">
              <w:rPr>
                <w:rFonts w:ascii="Calibri" w:hAnsi="Calibri" w:cs="Calibri"/>
                <w:sz w:val="18"/>
                <w:szCs w:val="18"/>
                <w:lang w:val="en-US"/>
              </w:rPr>
              <w:t xml:space="preserve"> </w:t>
            </w:r>
            <w:r w:rsidRPr="008441F8">
              <w:rPr>
                <w:rFonts w:ascii="Calibri" w:hAnsi="Calibri" w:cs="Calibri"/>
                <w:i/>
                <w:sz w:val="18"/>
                <w:szCs w:val="18"/>
                <w:lang w:val="en-US"/>
              </w:rPr>
              <w:t>tet</w:t>
            </w:r>
            <w:r w:rsidRPr="008441F8">
              <w:rPr>
                <w:rFonts w:ascii="Calibri" w:hAnsi="Calibri" w:cs="Calibri"/>
                <w:sz w:val="18"/>
                <w:szCs w:val="18"/>
                <w:lang w:val="en-US"/>
              </w:rPr>
              <w:t xml:space="preserve"> </w:t>
            </w:r>
          </w:p>
        </w:tc>
        <w:tc>
          <w:tcPr>
            <w:tcW w:w="4678" w:type="dxa"/>
          </w:tcPr>
          <w:p w14:paraId="4CBCDB8F" w14:textId="77777777" w:rsidR="00AE654E" w:rsidRPr="008441F8" w:rsidRDefault="00AE654E" w:rsidP="000165F5">
            <w:pPr>
              <w:jc w:val="both"/>
              <w:rPr>
                <w:sz w:val="18"/>
                <w:szCs w:val="18"/>
                <w:lang w:val="en-US"/>
              </w:rPr>
            </w:pPr>
            <w:r w:rsidRPr="008441F8">
              <w:rPr>
                <w:sz w:val="18"/>
                <w:szCs w:val="18"/>
                <w:lang w:val="en-US"/>
              </w:rPr>
              <w:t>-</w:t>
            </w:r>
          </w:p>
        </w:tc>
        <w:tc>
          <w:tcPr>
            <w:tcW w:w="1984" w:type="dxa"/>
          </w:tcPr>
          <w:p w14:paraId="043FDD03" w14:textId="77777777" w:rsidR="00AE654E" w:rsidRPr="008441F8" w:rsidRDefault="00AE654E" w:rsidP="000165F5">
            <w:pPr>
              <w:jc w:val="both"/>
              <w:rPr>
                <w:rFonts w:ascii="Calibri" w:hAnsi="Calibri" w:cs="Calibri"/>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{"citationItems":[{"id":"ITEM-1","itemData":{"DOI":"10.1111/j.1462-2920.2008.01722.x","ISSN":"14622912","PMID":"18715286","abstract":"A broad host range, orthogonal genetic platform has been developed to format sensor circuits in the chromosome of Gram-negative microorganisms destined for environmental release as bioindicators of toxic or perilous compounds (e.g. explosives) in soil. The genetic scheme includes the generation of a genomic landing pad for the sensor module with a Tn5-mini-transposon bearing an optimal attTn7 sequence and a choice of reporter systems with optical and enzymatic outputs. The array of functional elements thereby inserted in the chromosome match that of a cognate plasmid vector which delivers the transcription factors and the promoters to a frame that places the regulatory parts in front of the reporters. Site-specific recombination sites allow the deletion of antibiotic resistances and enables reporter output prior to deliberate release. The system thus allows the production and maintenance of cells in a pre-release state and its intentional conversion in deliverable strains that fulfil all safety, stability and performance criteria. The combination of such a genetic platform with a variant of the transcriptional regulator XylR of Pseudomonas putida that responds to 2,4-dinitrotoluene has been the basis for the production of strains that emit light upon exposure to residues of explosives in a soil microcosm. © 2008 The Authors.","author":[{"dropping-particle":"","family":"Las Heras","given":"Aitor","non-dropping-particle":"De","parse-names":false,"suffix":""},{"dropping-particle":"","family":"Carreño","given":"Carlos A.","non-dropping-particle":"","parse-names":false,"suffix":""},{"dropping-particle":"","family":"Lorenzo","given":"Víctor","non-dropping-particle":"De","parse-names":false,"suffix":""}],"container-title":"Environmental Microbiology","id":"ITEM-1","issue":"12","issued":{"date-parts":[["2008"]]},"page":"3305-3316","title":"Stable implantation of orthogonal sensor circuits in Gram-negative bacteria for environmental release","type":"article-journal","volume":"10"},"uris":["http://www.mendeley.com/documents/?uuid=42c03735-7b19-4152-b9ff-bb52b5f85ad6"]}],"mendeley":{"formattedCitation":"(De Las Heras et al., 2008)","manualFormatting":"De Las Heras et al. (2008)","plainTextFormattedCitation":"(De Las Heras et al., 2008)","previouslyFormattedCitation":"(De Las Heras et al., 2008)"},"properties":{"noteIndex":0},"schema":"https://github.com/citation-style-language/schema/raw/master/csl-citation.json"}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De Las Heras et al. (2008)</w:t>
            </w:r>
            <w:r w:rsidRPr="008441F8">
              <w:rPr>
                <w:sz w:val="18"/>
                <w:szCs w:val="18"/>
                <w:lang w:val="en-US"/>
              </w:rPr>
              <w:fldChar w:fldCharType="end"/>
            </w:r>
          </w:p>
        </w:tc>
      </w:tr>
      <w:tr w:rsidR="00AE654E" w:rsidRPr="00B84A00" w14:paraId="6B3F6ECA" w14:textId="77777777" w:rsidTr="005B7F65">
        <w:tc>
          <w:tcPr>
            <w:tcW w:w="2547" w:type="dxa"/>
          </w:tcPr>
          <w:p w14:paraId="4111A867" w14:textId="77777777" w:rsidR="00AE654E" w:rsidRPr="008441F8" w:rsidRDefault="00AE654E" w:rsidP="000165F5">
            <w:pPr>
              <w:jc w:val="both"/>
              <w:rPr>
                <w:sz w:val="18"/>
                <w:szCs w:val="18"/>
                <w:lang w:val="en-US"/>
              </w:rPr>
            </w:pPr>
            <w:r w:rsidRPr="008441F8">
              <w:rPr>
                <w:sz w:val="18"/>
                <w:szCs w:val="18"/>
                <w:lang w:val="en-US"/>
              </w:rPr>
              <w:t>pEMG</w:t>
            </w:r>
          </w:p>
        </w:tc>
        <w:tc>
          <w:tcPr>
            <w:tcW w:w="4961" w:type="dxa"/>
          </w:tcPr>
          <w:p w14:paraId="5D763E60" w14:textId="77777777" w:rsidR="00AE654E" w:rsidRPr="008441F8" w:rsidRDefault="00AE654E" w:rsidP="000165F5">
            <w:pPr>
              <w:jc w:val="both"/>
              <w:rPr>
                <w:sz w:val="18"/>
                <w:szCs w:val="18"/>
                <w:lang w:val="en-US"/>
              </w:rPr>
            </w:pPr>
            <w:r w:rsidRPr="008441F8">
              <w:rPr>
                <w:rFonts w:cs="Times New Roman"/>
                <w:color w:val="000000" w:themeColor="text1"/>
                <w:sz w:val="18"/>
                <w:szCs w:val="18"/>
                <w:lang w:val="en-US"/>
              </w:rPr>
              <w:t>Km</w:t>
            </w:r>
            <w:r w:rsidRPr="008441F8">
              <w:rPr>
                <w:rFonts w:cs="Times New Roman"/>
                <w:color w:val="000000" w:themeColor="text1"/>
                <w:sz w:val="18"/>
                <w:szCs w:val="18"/>
                <w:vertAlign w:val="superscript"/>
                <w:lang w:val="en-US"/>
              </w:rPr>
              <w:t>R</w:t>
            </w:r>
            <w:r w:rsidRPr="008441F8">
              <w:rPr>
                <w:rFonts w:cs="Times New Roman"/>
                <w:color w:val="000000" w:themeColor="text1"/>
                <w:sz w:val="18"/>
                <w:szCs w:val="18"/>
                <w:lang w:val="en-US"/>
              </w:rPr>
              <w:t xml:space="preserve">, </w:t>
            </w:r>
            <w:r w:rsidRPr="008441F8">
              <w:rPr>
                <w:rFonts w:cs="Times New Roman"/>
                <w:i/>
                <w:color w:val="000000" w:themeColor="text1"/>
                <w:sz w:val="18"/>
                <w:szCs w:val="18"/>
                <w:lang w:val="en-US"/>
              </w:rPr>
              <w:t>oriV(R6K)</w:t>
            </w:r>
            <w:r w:rsidRPr="008441F8">
              <w:rPr>
                <w:rFonts w:cs="Times New Roman"/>
                <w:color w:val="000000" w:themeColor="text1"/>
                <w:sz w:val="18"/>
                <w:szCs w:val="18"/>
                <w:lang w:val="en-US"/>
              </w:rPr>
              <w:t xml:space="preserve">, </w:t>
            </w:r>
            <w:r w:rsidRPr="008441F8">
              <w:rPr>
                <w:rFonts w:cs="Times New Roman"/>
                <w:i/>
                <w:color w:val="000000" w:themeColor="text1"/>
                <w:sz w:val="18"/>
                <w:szCs w:val="18"/>
                <w:lang w:val="en-US"/>
              </w:rPr>
              <w:t>oriT</w:t>
            </w:r>
            <w:r w:rsidRPr="008441F8">
              <w:rPr>
                <w:rFonts w:cs="Times New Roman"/>
                <w:color w:val="000000" w:themeColor="text1"/>
                <w:sz w:val="18"/>
                <w:szCs w:val="18"/>
                <w:lang w:val="en-US"/>
              </w:rPr>
              <w:t xml:space="preserve">, </w:t>
            </w:r>
            <w:r w:rsidRPr="008441F8">
              <w:rPr>
                <w:rFonts w:cs="Times New Roman"/>
                <w:i/>
                <w:color w:val="000000" w:themeColor="text1"/>
                <w:sz w:val="18"/>
                <w:szCs w:val="18"/>
                <w:lang w:val="en-US"/>
              </w:rPr>
              <w:t>traJ</w:t>
            </w:r>
            <w:r w:rsidRPr="008441F8">
              <w:rPr>
                <w:rFonts w:cs="Times New Roman"/>
                <w:color w:val="000000" w:themeColor="text1"/>
                <w:sz w:val="18"/>
                <w:szCs w:val="18"/>
                <w:lang w:val="en-US"/>
              </w:rPr>
              <w:t xml:space="preserve">, </w:t>
            </w:r>
            <w:r w:rsidRPr="008441F8">
              <w:rPr>
                <w:rFonts w:cs="Times New Roman"/>
                <w:i/>
                <w:color w:val="000000" w:themeColor="text1"/>
                <w:sz w:val="18"/>
                <w:szCs w:val="18"/>
                <w:lang w:val="en-US"/>
              </w:rPr>
              <w:t>lacZα</w:t>
            </w:r>
            <w:r w:rsidRPr="008441F8">
              <w:rPr>
                <w:rFonts w:cs="Times New Roman"/>
                <w:color w:val="000000" w:themeColor="text1"/>
                <w:sz w:val="18"/>
                <w:szCs w:val="18"/>
                <w:lang w:val="en-US"/>
              </w:rPr>
              <w:t xml:space="preserve">-MCS flanked by two </w:t>
            </w:r>
            <w:r w:rsidRPr="008441F8">
              <w:rPr>
                <w:rFonts w:cs="Times New Roman"/>
                <w:iCs/>
                <w:color w:val="000000" w:themeColor="text1"/>
                <w:sz w:val="18"/>
                <w:szCs w:val="18"/>
                <w:lang w:val="en-US"/>
              </w:rPr>
              <w:t>I-SceI</w:t>
            </w:r>
            <w:r w:rsidRPr="008441F8">
              <w:rPr>
                <w:rFonts w:cs="Times New Roman"/>
                <w:color w:val="000000" w:themeColor="text1"/>
                <w:sz w:val="18"/>
                <w:szCs w:val="18"/>
                <w:lang w:val="en-US"/>
              </w:rPr>
              <w:t xml:space="preserve"> restriction sites</w:t>
            </w:r>
          </w:p>
        </w:tc>
        <w:tc>
          <w:tcPr>
            <w:tcW w:w="4678" w:type="dxa"/>
          </w:tcPr>
          <w:p w14:paraId="1C43C33E" w14:textId="77777777" w:rsidR="00AE654E" w:rsidRPr="008441F8" w:rsidRDefault="00AE654E" w:rsidP="000165F5">
            <w:pPr>
              <w:jc w:val="both"/>
              <w:rPr>
                <w:sz w:val="18"/>
                <w:szCs w:val="18"/>
                <w:lang w:val="en-US"/>
              </w:rPr>
            </w:pPr>
            <w:r w:rsidRPr="008441F8">
              <w:rPr>
                <w:sz w:val="18"/>
                <w:szCs w:val="18"/>
                <w:lang w:val="en-US"/>
              </w:rPr>
              <w:t>-</w:t>
            </w:r>
          </w:p>
        </w:tc>
        <w:tc>
          <w:tcPr>
            <w:tcW w:w="1984" w:type="dxa"/>
          </w:tcPr>
          <w:p w14:paraId="6EA5D73F"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{"citationItems":[{"id":"ITEM-1","itemData":{"DOI":"10.1111/j.1462-2920.2011.02538.x","ISSN":"14622912","abstract":"The genome of the soil bacterium Pseudomonas putida strain KT2440 has been erased of various determinants of resistance to antibiotics encoded in its extant chromosome. To this end, we employed a coherent genetic platform that allowed the precise deletion of multiple genomic segments in a large variety of Gram-negative bacteria including (but not limited to) P. putida. The method is based on the obligatory recombination between free-ended homologous DNA sequences that are released as linear fragments generated upon the cleavage of the chromosome with unique I-SceI sites, added to the segment of interest by the vector system. Despite the potential for a SOS response brought about by the appearance of double stranded DNA breaks during the process, fluctuation experiments revealed that the procedure did not increase mutation rates - perhaps due to the protection exerted by I-SceI bound to the otherwise naked DNA termini. With this tool in hand we made sequential deletions of genes mexC, mexE, ttgA and ampC in the genome of the target bacterium, orthologues of which are known to determine various degrees of antibiotic resistance in diverse microorganisms. Inspection of the corresponding phenotypes demonstrated that the efflux pump encoded by ttgA sufficed to endow P. putida with a high-level of tolerance to β-lactams, chloramphenicol and quinolones, but had little effect on, e.g. aminoglycosides. Analysis of the mutants revealed also a considerable diversity in the manifestation of the resistance phenotype within the population and suggested a degree of synergism between different pumps. The directed edition of the P. putida chromosome shown here not only enhances the amenability of this bacterium to deep genomic engineering, but also validates the corresponding approach for similar handlings of a large variety of Gram-negative microorganisms. © 2011 Society for Applied Microbiology and Blackwell Publishing Ltd.","author":[{"dropping-particle":"","family":"Martínez-García","given":"Esteban","non-dropping-particle":"","parse-names":false,"suffix":""},{"dropping-particle":"","family":"Lorenzo","given":"Víctor","non-dropping-particle":"de","parse-names":false,"suffix":""}],"container-title":"Environmental Microbiology","id":"ITEM-1","issue":"10","issued":{"date-parts":[["2011"]]},"page":"2702-2716","title":"Engineering multiple genomic deletions in Gram-negative bacteria: Analysis of the multi-resistant antibiotic profile of &lt;i&gt;Pseudomonas putida&lt;/i&gt; KT2440","type":"article","volume":"13"},"uris":["http://www.mendeley.com/documents/?uuid=f01a83b5-3f7d-4c96-ab42-499b98b416eb"]}],"mendeley":{"formattedCitation":"(Martínez-García &amp; de Lorenzo, 2011)","manualFormatting":"Martínez-García &amp; de Lorenzo (2011)","plainTextFormattedCitation":"(Martínez-García &amp; de Lorenzo, 2011)","previouslyFormattedCitation":"(Martínez-García &amp; de Lorenzo, 2011)"},"properties":{"noteIndex":0},"schema":"https://github.com/citation-style-language/schema/raw/master/csl-citation.json"}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Martínez-García &amp; de Lorenzo (2011)</w:t>
            </w:r>
            <w:r w:rsidRPr="008441F8">
              <w:rPr>
                <w:sz w:val="18"/>
                <w:szCs w:val="18"/>
                <w:lang w:val="en-US"/>
              </w:rPr>
              <w:fldChar w:fldCharType="end"/>
            </w:r>
          </w:p>
        </w:tc>
      </w:tr>
      <w:tr w:rsidR="00AE654E" w:rsidRPr="008441F8" w14:paraId="3E18F3D8" w14:textId="77777777" w:rsidTr="005B7F65">
        <w:tc>
          <w:tcPr>
            <w:tcW w:w="2547" w:type="dxa"/>
          </w:tcPr>
          <w:p w14:paraId="7B8A3297" w14:textId="77777777" w:rsidR="00AE654E" w:rsidRPr="008441F8" w:rsidRDefault="00AE654E" w:rsidP="000165F5">
            <w:pPr>
              <w:jc w:val="both"/>
              <w:rPr>
                <w:sz w:val="18"/>
                <w:szCs w:val="18"/>
                <w:lang w:val="en-US"/>
              </w:rPr>
            </w:pPr>
            <w:r w:rsidRPr="008441F8">
              <w:rPr>
                <w:sz w:val="18"/>
                <w:szCs w:val="18"/>
                <w:lang w:val="en-US"/>
              </w:rPr>
              <w:t>pGNW2</w:t>
            </w:r>
          </w:p>
        </w:tc>
        <w:tc>
          <w:tcPr>
            <w:tcW w:w="4961" w:type="dxa"/>
          </w:tcPr>
          <w:p w14:paraId="7FC3CAC1" w14:textId="77777777" w:rsidR="00AE654E" w:rsidRPr="008441F8" w:rsidRDefault="00AE654E" w:rsidP="000165F5">
            <w:pPr>
              <w:jc w:val="both"/>
              <w:rPr>
                <w:sz w:val="18"/>
                <w:szCs w:val="18"/>
                <w:lang w:val="en-US"/>
              </w:rPr>
            </w:pPr>
            <w:r w:rsidRPr="008441F8">
              <w:rPr>
                <w:sz w:val="18"/>
                <w:szCs w:val="18"/>
                <w:lang w:val="en-US"/>
              </w:rPr>
              <w:t xml:space="preserve">Derivative of vector pEMG carrying </w:t>
            </w:r>
            <w:r w:rsidRPr="008441F8">
              <w:rPr>
                <w:i/>
                <w:sz w:val="18"/>
                <w:szCs w:val="18"/>
                <w:lang w:val="en-US"/>
              </w:rPr>
              <w:t>P</w:t>
            </w:r>
            <w:r w:rsidRPr="008441F8">
              <w:rPr>
                <w:i/>
                <w:sz w:val="18"/>
                <w:szCs w:val="18"/>
                <w:vertAlign w:val="subscript"/>
                <w:lang w:val="en-US"/>
              </w:rPr>
              <w:t>14g</w:t>
            </w:r>
            <w:r w:rsidRPr="008441F8">
              <w:rPr>
                <w:sz w:val="18"/>
                <w:szCs w:val="18"/>
                <w:lang w:val="en-US"/>
              </w:rPr>
              <w:t>→</w:t>
            </w:r>
            <w:r w:rsidRPr="008441F8">
              <w:rPr>
                <w:i/>
                <w:sz w:val="18"/>
                <w:szCs w:val="18"/>
                <w:lang w:val="en-US"/>
              </w:rPr>
              <w:t>msfGFP</w:t>
            </w:r>
          </w:p>
        </w:tc>
        <w:tc>
          <w:tcPr>
            <w:tcW w:w="4678" w:type="dxa"/>
          </w:tcPr>
          <w:p w14:paraId="154650B7" w14:textId="77777777" w:rsidR="00AE654E" w:rsidRPr="008441F8" w:rsidRDefault="00AE654E" w:rsidP="000165F5">
            <w:pPr>
              <w:jc w:val="both"/>
              <w:rPr>
                <w:sz w:val="18"/>
                <w:szCs w:val="18"/>
                <w:lang w:val="en-US"/>
              </w:rPr>
            </w:pPr>
            <w:r w:rsidRPr="008441F8">
              <w:rPr>
                <w:sz w:val="18"/>
                <w:szCs w:val="18"/>
                <w:lang w:val="en-US"/>
              </w:rPr>
              <w:t>-</w:t>
            </w:r>
          </w:p>
        </w:tc>
        <w:tc>
          <w:tcPr>
            <w:tcW w:w="1984" w:type="dxa"/>
          </w:tcPr>
          <w:p w14:paraId="45934709"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{"citationItems":[{"id":"ITEM-1","itemData":{"DOI":"10.1111/1751-7915.13396","ISSN":"1751-7915","abstract":"Pseudomonas species have become reliable platforms for bioproduction due to their capability to tolerate harsh conditions imposed by large-scale bioprocesses and their remarkable resistance to diverse physicochemical stresses. The last few years have brought forth a variety of synthetic biology tools for the genetic manipulation of pseudomonads, but most of them are either applicable only to obtain certain types of mutations, lack efficiency, or are not easily accessible to be used in different Pseudomonas species (e.g. natural isolates). In this work, we describe a versatile, robust and user-friendly procedure that facilitates virtually any kind of genomic manipulation in Pseudomonas species in 3–5 days. The protocol presented here is based on DNA recombination forced by double-stranded DNA cuts (through the activity of the I-SceI homing meganuclease from yeast) followed by highly efficient counterselection of mutants (aided by a synthetic CRISPR-Cas9 device). The individual parts of the genome engineering toolbox, tailored for knocking genes in and out, have been standardized to enable portability and easy exchange of functional gene modules as needed. The applicability of the procedure is illustrated both by eliminating selected genomic regions in the platform strain P. putida KT2440 (including difficult-to-delete genes) and by integrating different reporter genes (comprising novel variants of fluorescent proteins) into a defined landing site in the target chromosome.","author":[{"dropping-particle":"","family":"Wirth","given":"Nicolas T.","non-dropping-particle":"","parse-names":false,"suffix":""},{"dropping-particle":"","family":"Kozaeva","given":"Ekaterina","non-dropping-particle":"","parse-names":false,"suffix":""},{"dropping-particle":"","family":"Nikel","given":"Pablo I.","non-dropping-particle":"","parse-names":false,"suffix":""}],"container-title":"Microbial Biotechnology","id":"ITEM-1","issue":"1","issued":{"date-parts":[["2020","1"]]},"page":"233-249","title":"Accelerated genome engineering of &lt;i&gt;Pseudomonas putida&lt;/i&gt; by I‐&lt;i&gt;Sce&lt;/i&gt;I―mediated recombination and CRISPR‐Cas9 counterselection","type":"article-journal","volume":"13"},"uris":["http://www.mendeley.com/documents/?uuid=2b728297-c06d-4772-aaff-744aee9258a5"]}],"mendeley":{"formattedCitation":"(Wirth et al., 2020)","manualFormatting":"Wirth et al. (2020)","plainTextFormattedCitation":"(Wirth et al., 2020)","previouslyFormattedCitation":"(Wirth et al., 2020)"},"properties":{"noteIndex":0},"schema":"https://github.com/citation-style-language/schema/raw/master/csl-citation.json"}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Wirth et al. (2020)</w:t>
            </w:r>
            <w:r w:rsidRPr="008441F8">
              <w:rPr>
                <w:sz w:val="18"/>
                <w:szCs w:val="18"/>
                <w:lang w:val="en-US"/>
              </w:rPr>
              <w:fldChar w:fldCharType="end"/>
            </w:r>
            <w:r w:rsidRPr="008441F8">
              <w:rPr>
                <w:sz w:val="18"/>
                <w:szCs w:val="18"/>
                <w:lang w:val="en-US"/>
              </w:rPr>
              <w:t xml:space="preserve"> plasmid #19</w:t>
            </w:r>
          </w:p>
        </w:tc>
      </w:tr>
      <w:tr w:rsidR="00AE654E" w:rsidRPr="008441F8" w14:paraId="012BC3D3" w14:textId="77777777" w:rsidTr="005B7F65">
        <w:tc>
          <w:tcPr>
            <w:tcW w:w="2547" w:type="dxa"/>
          </w:tcPr>
          <w:p w14:paraId="5E4F7B8F" w14:textId="77777777" w:rsidR="00AE654E" w:rsidRPr="008441F8" w:rsidRDefault="00AE654E" w:rsidP="000165F5">
            <w:pPr>
              <w:jc w:val="both"/>
              <w:rPr>
                <w:sz w:val="18"/>
                <w:szCs w:val="18"/>
                <w:lang w:val="en-US"/>
              </w:rPr>
            </w:pPr>
            <w:r w:rsidRPr="008441F8">
              <w:rPr>
                <w:sz w:val="18"/>
                <w:szCs w:val="18"/>
                <w:lang w:val="en-US"/>
              </w:rPr>
              <w:t>pSNW2</w:t>
            </w:r>
          </w:p>
        </w:tc>
        <w:tc>
          <w:tcPr>
            <w:tcW w:w="4961" w:type="dxa"/>
          </w:tcPr>
          <w:p w14:paraId="2A4411D7" w14:textId="77777777" w:rsidR="00AE654E" w:rsidRPr="008441F8" w:rsidRDefault="00AE654E" w:rsidP="000165F5">
            <w:pPr>
              <w:jc w:val="both"/>
              <w:rPr>
                <w:sz w:val="18"/>
                <w:szCs w:val="18"/>
                <w:lang w:val="en-US"/>
              </w:rPr>
            </w:pPr>
            <w:r w:rsidRPr="008441F8">
              <w:rPr>
                <w:sz w:val="18"/>
                <w:szCs w:val="18"/>
                <w:lang w:val="en-US"/>
              </w:rPr>
              <w:t xml:space="preserve">Derivative of vector pEMG carrying </w:t>
            </w:r>
            <w:r w:rsidRPr="008441F8">
              <w:rPr>
                <w:i/>
                <w:sz w:val="18"/>
                <w:szCs w:val="18"/>
                <w:lang w:val="en-US"/>
              </w:rPr>
              <w:t>P</w:t>
            </w:r>
            <w:r w:rsidRPr="008441F8">
              <w:rPr>
                <w:i/>
                <w:sz w:val="18"/>
                <w:szCs w:val="18"/>
                <w:vertAlign w:val="subscript"/>
                <w:lang w:val="en-US"/>
              </w:rPr>
              <w:t>14g</w:t>
            </w:r>
            <w:r w:rsidRPr="008441F8">
              <w:rPr>
                <w:sz w:val="18"/>
                <w:szCs w:val="18"/>
                <w:lang w:val="en-US"/>
              </w:rPr>
              <w:t>-BCD2→</w:t>
            </w:r>
            <w:r w:rsidRPr="008441F8">
              <w:rPr>
                <w:i/>
                <w:sz w:val="18"/>
                <w:szCs w:val="18"/>
                <w:lang w:val="en-US"/>
              </w:rPr>
              <w:t>msfGFP</w:t>
            </w:r>
          </w:p>
        </w:tc>
        <w:tc>
          <w:tcPr>
            <w:tcW w:w="4678" w:type="dxa"/>
          </w:tcPr>
          <w:p w14:paraId="106D265F" w14:textId="77777777" w:rsidR="00AE654E" w:rsidRPr="008441F8" w:rsidRDefault="00AE654E" w:rsidP="000165F5">
            <w:pPr>
              <w:jc w:val="both"/>
              <w:rPr>
                <w:sz w:val="18"/>
                <w:szCs w:val="18"/>
                <w:lang w:val="en-US"/>
              </w:rPr>
            </w:pPr>
            <w:r w:rsidRPr="008441F8">
              <w:rPr>
                <w:sz w:val="18"/>
                <w:szCs w:val="18"/>
                <w:lang w:val="en-US"/>
              </w:rPr>
              <w:t>-</w:t>
            </w:r>
          </w:p>
        </w:tc>
        <w:tc>
          <w:tcPr>
            <w:tcW w:w="1984" w:type="dxa"/>
          </w:tcPr>
          <w:p w14:paraId="4665C601"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{"citationItems":[{"id":"ITEM-1","itemData":{"DOI":"10.21769/BioProtoc.3917","ISSN":"2331-8325","abstract":"Precise genome engineering has become a commonplace technique for metabolic engineering. Also, insertion, deletion and alteration of genes and other functional DNA sequences are essential for understanding and engineering cells. Several techniques have been developed to this end (e.g., CRISPR/Cas-assisted methods, homologous recombination, or λ Red recombineering), yet most of them rely on the use of auxiliary plasmids, which have to be cured after the editing procedure. Temperature-sensitive replicons, counter-selectable markers or repeated passaging of plasmid-bearing cells have been traditionally employed to circumvent this hurdle. While these protocols work reasonably well in some bacteria, they are not applicable for other species or are time consuming and laborious. Here, we present a fast and versatile protocol of fluorescent marker-assisted genome editing in Pseudomonas putida, followed by clean curing of auxiliary plasmids through user-controlled plasmid replication. One fluorescent marker facilitates identification of genome-edited colonies, while the second reporter enables detection of plasmid-free bacterial clones. Not only is this protocol the fastest available for Pseudomonas species, but it can be easily adapted to any type of genome modifications, including sequence deletions, insertions, and replacements.Graphical abstract:Rapid genome engineering of Pseudomonas with curable plasmids","author":[{"dropping-particle":"","family":"Volke","given":"Daniel C","non-dropping-particle":"","parse-names":false,"suffix":""},{"dropping-particle":"","family":"Wirth","given":"Nicolas T","non-dropping-particle":"","parse-names":false,"suffix":""},{"dropping-particle":"","family":"Nikel","given":"Pablo Ivan","non-dropping-particle":"","parse-names":false,"suffix":""}],"container-title":"Bio-protocol","id":"ITEM-1","issue":"4","issued":{"date-parts":[["2021"]]},"page":"e3917","publisher":"Bio-protocol LLC.","title":"Rapid Genome Engineering of &lt;i&gt;Pseudomonas&lt;/i&gt; Assisted by Fluorescent Markers and Tractable Curing of Plasmids","type":"article-journal","volume":"11"},"uris":["http://www.mendeley.com/documents/?uuid=7e89b416-7e91-4e0c-b5e5-6503048d47d3"]},{"id":"ITEM-2","itemData":{"DOI":"10.1016/j.mec.2020.e00126","ISSN":"22140301","abstract":"Genome engineering of non-conventional microorganisms calls for the development of dedicated synthetic biology tools. Pseudomonas putida is a Gram-negative, non-pathogenic soil bacterium widely used for metabolic engineering owing to its versatile metabolism and high levels of tolerance to different types of stress. Genome editing of P. putida largely relies on homologous recombination events, assisted by helper plasmid-based expression of genes encoding DNA modifying enzymes. Plasmid curing from selected isolates is the most tedious and time-consuming step of this procedure, and implementing commonly used methods to this end in P. putida (e.g. temperature-sensitive replicons) is often impractical. To tackle this issue, we have developed a toolbox for both target- and self-curing of plasmid DNA in Pseudomonas species. Our method enables plasmid-curing in a simple cultivation step by combining in vivo digestion of vectors by the I-SceI homing nuclease with synthetic control of plasmid replication, triggered by the addition of a cheap chemical inducer (3-methylbenzoate) to the medium. The system displays an efficiency of vector curing &gt;90% and the screening of plasmid-free clones is greatly facilitated by the use of fluorescent markers that can be selected according to the application intended. Furthermore, quick genome engineering of P. putida using self-curing plasmids is demonstrated through genome reduction of the platform strain EM42 by eliminating all genes encoding β-lactamases, the catabolic ben gene cluster, and the pyoverdine synthesis machinery. Physiological characterization of the resulting streamlined strain, P. putida SEM10, revealed advantageous features that could be exploited for metabolic engineering.","author":[{"dropping-particle":"","family":"Volke","given":"Daniel C.","non-dropping-particle":"","parse-names":false,"suffix":""},{"dropping-particle":"","family":"Friis","given":"Laura","non-dropping-particle":"","parse-names":false,"suffix":""},{"dropping-particle":"","family":"Wirth","given":"Nicolas T.","non-dropping-particle":"","parse-names":false,"suffix":""},{"dropping-particle":"","family":"Turlin","given":"Justine","non-dropping-particle":"","parse-names":false,"suffix":""},{"dropping-particle":"","family":"Nikel","given":"Pablo I.","non-dropping-particle":"","parse-names":false,"suffix":""}],"container-title":"Metabolic Engineering Communications","id":"ITEM-2","issue":"January","issued":{"date-parts":[["2020"]]},"note":"Reference for \npSNW2,\nSEM10 and for \npQURE6","page":"e00126","publisher":"Elsevier Ltd","title":"Synthetic control of plasmid replication enables target- and self-curing of vectors and expedites genome engineering of &lt;i&gt;Pseudomonas putida&lt;/i&gt;","type":"article-journal","volume":"10"},"uris":["http://www.mendeley.com/documents/?uuid=3669e3c2-513c-4037-a141-8108289d0958"]}],"mendeley":{"formattedCitation":"(Volke et al., 2020, 2021)","manualFormatting":"Volke et al. (2020, 2021)","plainTextFormattedCitation":"(Volke et al., 2020, 2021)","previouslyFormattedCitation":"(Volke et al., 2020, 2021)"},"properties":{"noteIndex":0},"schema":"https://github.com/citation-style-language/schema/raw/master/csl-citation.json"}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Volke et al. (2020, 2021)</w:t>
            </w:r>
            <w:r w:rsidRPr="008441F8">
              <w:rPr>
                <w:sz w:val="18"/>
                <w:szCs w:val="18"/>
                <w:lang w:val="en-US"/>
              </w:rPr>
              <w:fldChar w:fldCharType="end"/>
            </w:r>
          </w:p>
          <w:p w14:paraId="4969F6BE" w14:textId="77777777" w:rsidR="00AE654E" w:rsidRPr="008441F8" w:rsidRDefault="00AE654E" w:rsidP="000165F5">
            <w:pPr>
              <w:jc w:val="both"/>
              <w:rPr>
                <w:sz w:val="18"/>
                <w:szCs w:val="18"/>
                <w:lang w:val="en-US"/>
              </w:rPr>
            </w:pPr>
            <w:r w:rsidRPr="008441F8">
              <w:rPr>
                <w:sz w:val="18"/>
                <w:szCs w:val="18"/>
                <w:lang w:val="en-US"/>
              </w:rPr>
              <w:t>plasmid #142</w:t>
            </w:r>
          </w:p>
        </w:tc>
      </w:tr>
      <w:tr w:rsidR="00AE654E" w:rsidRPr="00B84A00" w14:paraId="08310B16" w14:textId="77777777" w:rsidTr="005B7F65">
        <w:tc>
          <w:tcPr>
            <w:tcW w:w="2547" w:type="dxa"/>
          </w:tcPr>
          <w:p w14:paraId="07041F3E" w14:textId="77777777" w:rsidR="00AE654E" w:rsidRPr="008441F8" w:rsidRDefault="00AE654E" w:rsidP="000165F5">
            <w:pPr>
              <w:jc w:val="both"/>
              <w:rPr>
                <w:sz w:val="18"/>
                <w:szCs w:val="18"/>
                <w:lang w:val="en-US"/>
              </w:rPr>
            </w:pPr>
            <w:r w:rsidRPr="008441F8">
              <w:rPr>
                <w:sz w:val="18"/>
                <w:szCs w:val="18"/>
                <w:lang w:val="en-US"/>
              </w:rPr>
              <w:t>pSW-2</w:t>
            </w:r>
          </w:p>
        </w:tc>
        <w:tc>
          <w:tcPr>
            <w:tcW w:w="4961" w:type="dxa"/>
          </w:tcPr>
          <w:p w14:paraId="442F39BB" w14:textId="77777777" w:rsidR="00AE654E" w:rsidRPr="008441F8" w:rsidRDefault="00AE654E" w:rsidP="000165F5">
            <w:pPr>
              <w:jc w:val="both"/>
              <w:rPr>
                <w:i/>
                <w:sz w:val="18"/>
                <w:szCs w:val="18"/>
                <w:lang w:val="en-US"/>
              </w:rPr>
            </w:pPr>
            <w:r w:rsidRPr="008441F8">
              <w:rPr>
                <w:sz w:val="18"/>
                <w:szCs w:val="18"/>
                <w:lang w:val="en-US"/>
              </w:rPr>
              <w:t>Gm</w:t>
            </w:r>
            <w:r w:rsidRPr="008441F8">
              <w:rPr>
                <w:sz w:val="18"/>
                <w:szCs w:val="18"/>
                <w:vertAlign w:val="superscript"/>
                <w:lang w:val="en-US"/>
              </w:rPr>
              <w:t>R</w:t>
            </w:r>
            <w:r w:rsidRPr="008441F8">
              <w:rPr>
                <w:sz w:val="18"/>
                <w:szCs w:val="18"/>
                <w:lang w:val="en-US"/>
              </w:rPr>
              <w:t xml:space="preserve">, </w:t>
            </w:r>
            <w:r w:rsidRPr="008441F8">
              <w:rPr>
                <w:i/>
                <w:sz w:val="18"/>
                <w:szCs w:val="18"/>
                <w:lang w:val="en-US"/>
              </w:rPr>
              <w:t>oriV(RK2), oriT, xylS, Pm→</w:t>
            </w:r>
            <w:r w:rsidRPr="008441F8">
              <w:rPr>
                <w:sz w:val="18"/>
                <w:szCs w:val="18"/>
                <w:lang w:val="en-US"/>
              </w:rPr>
              <w:t xml:space="preserve"> </w:t>
            </w:r>
            <w:r w:rsidRPr="008441F8">
              <w:rPr>
                <w:i/>
                <w:sz w:val="18"/>
                <w:szCs w:val="18"/>
                <w:lang w:val="en-US"/>
              </w:rPr>
              <w:t>I-SceI</w:t>
            </w:r>
          </w:p>
        </w:tc>
        <w:tc>
          <w:tcPr>
            <w:tcW w:w="4678" w:type="dxa"/>
          </w:tcPr>
          <w:p w14:paraId="62C6A6B7" w14:textId="77777777" w:rsidR="00AE654E" w:rsidRPr="008441F8" w:rsidRDefault="00AE654E" w:rsidP="000165F5">
            <w:pPr>
              <w:jc w:val="both"/>
              <w:rPr>
                <w:sz w:val="18"/>
                <w:szCs w:val="18"/>
                <w:lang w:val="en-US"/>
              </w:rPr>
            </w:pPr>
            <w:r w:rsidRPr="008441F8">
              <w:rPr>
                <w:sz w:val="18"/>
                <w:szCs w:val="18"/>
                <w:lang w:val="en-US"/>
              </w:rPr>
              <w:t>-</w:t>
            </w:r>
          </w:p>
        </w:tc>
        <w:tc>
          <w:tcPr>
            <w:tcW w:w="1984" w:type="dxa"/>
          </w:tcPr>
          <w:p w14:paraId="79F6B2AA"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{"citationItems":[{"id":"ITEM-1","itemData":{"DOI":"10.1111/j.1462-2920.2011.02538.x","ISSN":"14622912","abstract":"The genome of the soil bacterium Pseudomonas putida strain KT2440 has been erased of various determinants of resistance to antibiotics encoded in its extant chromosome. To this end, we employed a coherent genetic platform that allowed the precise deletion of multiple genomic segments in a large variety of Gram-negative bacteria including (but not limited to) P. putida. The method is based on the obligatory recombination between free-ended homologous DNA sequences that are released as linear fragments generated upon the cleavage of the chromosome with unique I-SceI sites, added to the segment of interest by the vector system. Despite the potential for a SOS response brought about by the appearance of double stranded DNA breaks during the process, fluctuation experiments revealed that the procedure did not increase mutation rates - perhaps due to the protection exerted by I-SceI bound to the otherwise naked DNA termini. With this tool in hand we made sequential deletions of genes mexC, mexE, ttgA and ampC in the genome of the target bacterium, orthologues of which are known to determine various degrees of antibiotic resistance in diverse microorganisms. Inspection of the corresponding phenotypes demonstrated that the efflux pump encoded by ttgA sufficed to endow P. putida with a high-level of tolerance to β-lactams, chloramphenicol and quinolones, but had little effect on, e.g. aminoglycosides. Analysis of the mutants revealed also a considerable diversity in the manifestation of the resistance phenotype within the population and suggested a degree of synergism between different pumps. The directed edition of the P. putida chromosome shown here not only enhances the amenability of this bacterium to deep genomic engineering, but also validates the corresponding approach for similar handlings of a large variety of Gram-negative microorganisms. © 2011 Society for Applied Microbiology and Blackwell Publishing Ltd.","author":[{"dropping-particle":"","family":"Martínez-García","given":"Esteban","non-dropping-particle":"","parse-names":false,"suffix":""},{"dropping-particle":"","family":"Lorenzo","given":"Víctor","non-dropping-particle":"de","parse-names":false,"suffix":""}],"container-title":"Environmental Microbiology","id":"ITEM-1","issue":"10","issued":{"date-parts":[["2011"]]},"page":"2702-2716","title":"Engineering multiple genomic deletions in Gram-negative bacteria: Analysis of the multi-resistant antibiotic profile of &lt;i&gt;Pseudomonas putida&lt;/i&gt; KT2440","type":"article","volume":"13"},"uris":["http://www.mendeley.com/documents/?uuid=f01a83b5-3f7d-4c96-ab42-499b98b416eb"]}],"mendeley":{"formattedCitation":"(Martínez-García &amp; de Lorenzo, 2011)","manualFormatting":"Martínez-García &amp; de Lorenzo (2011)","plainTextFormattedCitation":"(Martínez-García &amp; de Lorenzo, 2011)","previouslyFormattedCitation":"(Martínez-García &amp; de Lorenzo, 2011)"},"properties":{"noteIndex":0},"schema":"https://github.com/citation-style-language/schema/raw/master/csl-citation.json"}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Martínez-García &amp; de Lorenzo (2011)</w:t>
            </w:r>
            <w:r w:rsidRPr="008441F8">
              <w:rPr>
                <w:sz w:val="18"/>
                <w:szCs w:val="18"/>
                <w:lang w:val="en-US"/>
              </w:rPr>
              <w:fldChar w:fldCharType="end"/>
            </w:r>
          </w:p>
        </w:tc>
      </w:tr>
      <w:tr w:rsidR="00AE654E" w:rsidRPr="008441F8" w14:paraId="1278FA2E" w14:textId="77777777" w:rsidTr="005B7F65">
        <w:tc>
          <w:tcPr>
            <w:tcW w:w="2547" w:type="dxa"/>
          </w:tcPr>
          <w:p w14:paraId="5C83110C" w14:textId="77777777" w:rsidR="00AE654E" w:rsidRPr="008441F8" w:rsidRDefault="00AE654E" w:rsidP="000165F5">
            <w:pPr>
              <w:jc w:val="both"/>
              <w:rPr>
                <w:sz w:val="18"/>
                <w:szCs w:val="18"/>
                <w:lang w:val="en-US"/>
              </w:rPr>
            </w:pPr>
            <w:r w:rsidRPr="008441F8">
              <w:rPr>
                <w:rFonts w:ascii="Calibri" w:hAnsi="Calibri" w:cs="Calibri"/>
                <w:sz w:val="18"/>
                <w:szCs w:val="18"/>
                <w:lang w:val="en-US"/>
              </w:rPr>
              <w:t>pSEVA6213S</w:t>
            </w:r>
          </w:p>
        </w:tc>
        <w:tc>
          <w:tcPr>
            <w:tcW w:w="4961" w:type="dxa"/>
          </w:tcPr>
          <w:p w14:paraId="2B31F332" w14:textId="77777777" w:rsidR="00AE654E" w:rsidRPr="008441F8" w:rsidRDefault="00AE654E" w:rsidP="000165F5">
            <w:pPr>
              <w:jc w:val="both"/>
              <w:rPr>
                <w:sz w:val="18"/>
                <w:szCs w:val="18"/>
                <w:lang w:val="en-US"/>
              </w:rPr>
            </w:pPr>
            <w:r w:rsidRPr="008441F8">
              <w:rPr>
                <w:rFonts w:ascii="Calibri" w:hAnsi="Calibri" w:cs="Calibri"/>
                <w:sz w:val="18"/>
                <w:szCs w:val="18"/>
                <w:lang w:val="en-US"/>
              </w:rPr>
              <w:t>Gm</w:t>
            </w:r>
            <w:r w:rsidRPr="008441F8">
              <w:rPr>
                <w:rFonts w:ascii="Calibri" w:hAnsi="Calibri" w:cs="Calibri"/>
                <w:sz w:val="18"/>
                <w:szCs w:val="18"/>
                <w:vertAlign w:val="superscript"/>
                <w:lang w:val="en-US"/>
              </w:rPr>
              <w:t>R</w:t>
            </w:r>
            <w:r w:rsidRPr="008441F8">
              <w:rPr>
                <w:rFonts w:ascii="Calibri" w:hAnsi="Calibri" w:cs="Calibri"/>
                <w:sz w:val="18"/>
                <w:szCs w:val="18"/>
                <w:lang w:val="en-US"/>
              </w:rPr>
              <w:t xml:space="preserve">, </w:t>
            </w:r>
            <w:r w:rsidRPr="008441F8">
              <w:rPr>
                <w:rFonts w:ascii="Calibri" w:hAnsi="Calibri" w:cs="Calibri"/>
                <w:i/>
                <w:iCs/>
                <w:sz w:val="18"/>
                <w:szCs w:val="18"/>
                <w:lang w:val="en-US"/>
              </w:rPr>
              <w:t>oriV(RK2)</w:t>
            </w:r>
            <w:r w:rsidRPr="008441F8">
              <w:rPr>
                <w:rFonts w:ascii="Calibri" w:hAnsi="Calibri" w:cs="Calibri"/>
                <w:sz w:val="18"/>
                <w:szCs w:val="18"/>
                <w:lang w:val="en-US"/>
              </w:rPr>
              <w:t xml:space="preserve">, </w:t>
            </w:r>
            <w:r w:rsidRPr="008441F8">
              <w:rPr>
                <w:rFonts w:ascii="Calibri" w:hAnsi="Calibri" w:cs="Calibri"/>
                <w:i/>
                <w:sz w:val="18"/>
                <w:szCs w:val="18"/>
                <w:lang w:val="en-US"/>
              </w:rPr>
              <w:t>P</w:t>
            </w:r>
            <w:r w:rsidRPr="008441F8">
              <w:rPr>
                <w:rFonts w:ascii="Calibri" w:hAnsi="Calibri" w:cs="Calibri"/>
                <w:i/>
                <w:sz w:val="18"/>
                <w:szCs w:val="18"/>
                <w:vertAlign w:val="subscript"/>
                <w:lang w:val="en-US"/>
              </w:rPr>
              <w:t>EM7</w:t>
            </w:r>
            <w:r w:rsidRPr="008441F8">
              <w:rPr>
                <w:rFonts w:ascii="Calibri" w:hAnsi="Calibri" w:cs="Calibri"/>
                <w:sz w:val="18"/>
                <w:szCs w:val="18"/>
                <w:lang w:val="en-US"/>
              </w:rPr>
              <w:t>→</w:t>
            </w:r>
            <w:r w:rsidRPr="008441F8">
              <w:rPr>
                <w:rFonts w:ascii="Calibri" w:hAnsi="Calibri" w:cs="Calibri"/>
                <w:i/>
                <w:sz w:val="18"/>
                <w:szCs w:val="18"/>
                <w:lang w:val="en-US"/>
              </w:rPr>
              <w:t>I-SceI</w:t>
            </w:r>
            <w:r w:rsidRPr="008441F8">
              <w:rPr>
                <w:rFonts w:ascii="Calibri" w:hAnsi="Calibri" w:cs="Calibri"/>
                <w:sz w:val="18"/>
                <w:szCs w:val="18"/>
                <w:lang w:val="en-US"/>
              </w:rPr>
              <w:t>;</w:t>
            </w:r>
          </w:p>
        </w:tc>
        <w:tc>
          <w:tcPr>
            <w:tcW w:w="4678" w:type="dxa"/>
          </w:tcPr>
          <w:p w14:paraId="364B85FA" w14:textId="77777777" w:rsidR="00AE654E" w:rsidRPr="008441F8" w:rsidRDefault="00AE654E" w:rsidP="000165F5">
            <w:pPr>
              <w:jc w:val="both"/>
              <w:rPr>
                <w:sz w:val="18"/>
                <w:szCs w:val="18"/>
                <w:lang w:val="en-US"/>
              </w:rPr>
            </w:pPr>
            <w:r w:rsidRPr="008441F8">
              <w:rPr>
                <w:sz w:val="18"/>
                <w:szCs w:val="18"/>
                <w:lang w:val="en-US"/>
              </w:rPr>
              <w:t>-</w:t>
            </w:r>
          </w:p>
        </w:tc>
        <w:tc>
          <w:tcPr>
            <w:tcW w:w="1984" w:type="dxa"/>
          </w:tcPr>
          <w:p w14:paraId="0A5FA63C"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{"citationItems":[{"id":"ITEM-1","itemData":{"DOI":"10.1111/1751-7915.13396","ISSN":"1751-7915","abstract":"Pseudomonas species have become reliable platforms for bioproduction due to their capability to tolerate harsh conditions imposed by large-scale bioprocesses and their remarkable resistance to diverse physicochemical stresses. The last few years have brought forth a variety of synthetic biology tools for the genetic manipulation of pseudomonads, but most of them are either applicable only to obtain certain types of mutations, lack efficiency, or are not easily accessible to be used in different Pseudomonas species (e.g. natural isolates). In this work, we describe a versatile, robust and user-friendly procedure that facilitates virtually any kind of genomic manipulation in Pseudomonas species in 3–5 days. The protocol presented here is based on DNA recombination forced by double-stranded DNA cuts (through the activity of the I-SceI homing meganuclease from yeast) followed by highly efficient counterselection of mutants (aided by a synthetic CRISPR-Cas9 device). The individual parts of the genome engineering toolbox, tailored for knocking genes in and out, have been standardized to enable portability and easy exchange of functional gene modules as needed. The applicability of the procedure is illustrated both by eliminating selected genomic regions in the platform strain P. putida KT2440 (including difficult-to-delete genes) and by integrating different reporter genes (comprising novel variants of fluorescent proteins) into a defined landing site in the target chromosome.","author":[{"dropping-particle":"","family":"Wirth","given":"Nicolas T.","non-dropping-particle":"","parse-names":false,"suffix":""},{"dropping-particle":"","family":"Kozaeva","given":"Ekaterina","non-dropping-particle":"","parse-names":false,"suffix":""},{"dropping-particle":"","family":"Nikel","given":"Pablo I.","non-dropping-particle":"","parse-names":false,"suffix":""}],"container-title":"Microbial Biotechnology","id":"ITEM-1","issue":"1","issued":{"date-parts":[["2020","1"]]},"page":"233-249","title":"Accelerated genome engineering of &lt;i&gt;Pseudomonas putida&lt;/i&gt; by I‐&lt;i&gt;Sce&lt;/i&gt;I―mediated recombination and CRISPR‐Cas9 counterselection","type":"article-journal","volume":"13"},"uris":["http://www.mendeley.com/documents/?uuid=2b728297-c06d-4772-aaff-744aee9258a5"]}],"mendeley":{"formattedCitation":"(Wirth et al., 2020)","manualFormatting":"Wirth et al. (2020)","plainTextFormattedCitation":"(Wirth et al., 2020)","previouslyFormattedCitation":"(Wirth et al., 2020)"},"properties":{"noteIndex":0},"schema":"https://github.com/citation-style-language/schema/raw/master/csl-citation.json"}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Wirth et al. (2020)</w:t>
            </w:r>
            <w:r w:rsidRPr="008441F8">
              <w:rPr>
                <w:sz w:val="18"/>
                <w:szCs w:val="18"/>
                <w:lang w:val="en-US"/>
              </w:rPr>
              <w:fldChar w:fldCharType="end"/>
            </w:r>
          </w:p>
        </w:tc>
      </w:tr>
      <w:tr w:rsidR="00AE654E" w:rsidRPr="008441F8" w14:paraId="7EE7CB93" w14:textId="77777777" w:rsidTr="005B7F65">
        <w:tc>
          <w:tcPr>
            <w:tcW w:w="2547" w:type="dxa"/>
          </w:tcPr>
          <w:p w14:paraId="46227AE5"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pGNW2-fabD(Ts) W258Q</w:t>
            </w:r>
          </w:p>
        </w:tc>
        <w:tc>
          <w:tcPr>
            <w:tcW w:w="4961" w:type="dxa"/>
          </w:tcPr>
          <w:p w14:paraId="33D18845"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Genomic exchange of TGG</w:t>
            </w:r>
            <w:r w:rsidRPr="008441F8">
              <w:rPr>
                <w:rFonts w:ascii="Calibri" w:hAnsi="Calibri" w:cs="Calibri"/>
                <w:sz w:val="18"/>
                <w:szCs w:val="18"/>
                <w:vertAlign w:val="subscript"/>
                <w:lang w:val="en-US"/>
              </w:rPr>
              <w:t>772-774</w:t>
            </w:r>
            <w:r w:rsidRPr="008441F8">
              <w:rPr>
                <w:rFonts w:ascii="Calibri" w:hAnsi="Calibri" w:cs="Calibri"/>
                <w:sz w:val="18"/>
                <w:szCs w:val="18"/>
                <w:lang w:val="en-US"/>
              </w:rPr>
              <w:t xml:space="preserve"> -&gt; CAG (W258Q) (temperature sensitive) in </w:t>
            </w:r>
            <w:r w:rsidRPr="008441F8">
              <w:rPr>
                <w:rFonts w:ascii="Calibri" w:hAnsi="Calibri" w:cs="Calibri"/>
                <w:i/>
                <w:sz w:val="18"/>
                <w:szCs w:val="18"/>
                <w:lang w:val="en-US"/>
              </w:rPr>
              <w:t>fabD</w:t>
            </w:r>
            <w:r w:rsidRPr="008441F8">
              <w:rPr>
                <w:rFonts w:ascii="Calibri" w:hAnsi="Calibri" w:cs="Calibri"/>
                <w:sz w:val="18"/>
                <w:szCs w:val="18"/>
                <w:lang w:val="en-US"/>
              </w:rPr>
              <w:t xml:space="preserve"> (PVLB_07170)</w:t>
            </w:r>
          </w:p>
        </w:tc>
        <w:tc>
          <w:tcPr>
            <w:tcW w:w="4678" w:type="dxa"/>
          </w:tcPr>
          <w:p w14:paraId="08659A2F" w14:textId="77777777" w:rsidR="00AE654E" w:rsidRPr="008441F8" w:rsidRDefault="00AE654E" w:rsidP="000165F5">
            <w:pPr>
              <w:jc w:val="both"/>
              <w:rPr>
                <w:sz w:val="18"/>
                <w:lang w:val="en-US"/>
              </w:rPr>
            </w:pPr>
            <w:r w:rsidRPr="008441F8">
              <w:rPr>
                <w:sz w:val="18"/>
                <w:lang w:val="en-US"/>
              </w:rPr>
              <w:t>Fragment BW682/BW683 from pGNW2; Fragment TS029/TS030 and TS031/TS032 from VLB120 genome</w:t>
            </w:r>
          </w:p>
        </w:tc>
        <w:tc>
          <w:tcPr>
            <w:tcW w:w="1984" w:type="dxa"/>
          </w:tcPr>
          <w:p w14:paraId="3CD8ABC1" w14:textId="77777777" w:rsidR="00AE654E" w:rsidRPr="008441F8" w:rsidRDefault="00AE654E" w:rsidP="000165F5">
            <w:pPr>
              <w:jc w:val="both"/>
              <w:rPr>
                <w:sz w:val="18"/>
                <w:szCs w:val="18"/>
                <w:lang w:val="en-US"/>
              </w:rPr>
            </w:pPr>
            <w:r w:rsidRPr="008441F8">
              <w:rPr>
                <w:sz w:val="18"/>
                <w:szCs w:val="18"/>
                <w:lang w:val="en-US"/>
              </w:rPr>
              <w:t>This study</w:t>
            </w:r>
          </w:p>
          <w:p w14:paraId="5F41EB2B" w14:textId="77777777" w:rsidR="00AE654E" w:rsidRPr="008441F8" w:rsidRDefault="00AE654E" w:rsidP="000165F5">
            <w:pPr>
              <w:jc w:val="both"/>
              <w:rPr>
                <w:sz w:val="18"/>
                <w:szCs w:val="18"/>
                <w:lang w:val="en-US"/>
              </w:rPr>
            </w:pPr>
            <w:r w:rsidRPr="008441F8">
              <w:rPr>
                <w:sz w:val="18"/>
                <w:szCs w:val="18"/>
                <w:lang w:val="en-US"/>
              </w:rPr>
              <w:t>Plasmid #59, #84</w:t>
            </w:r>
          </w:p>
        </w:tc>
      </w:tr>
      <w:tr w:rsidR="00AE654E" w:rsidRPr="008441F8" w14:paraId="6414520A" w14:textId="77777777" w:rsidTr="005B7F65">
        <w:tc>
          <w:tcPr>
            <w:tcW w:w="2547" w:type="dxa"/>
          </w:tcPr>
          <w:p w14:paraId="1D79C961"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pEMG-Ex-P</w:t>
            </w:r>
            <w:r w:rsidRPr="008441F8">
              <w:rPr>
                <w:rFonts w:ascii="Calibri" w:hAnsi="Calibri" w:cs="Calibri"/>
                <w:sz w:val="18"/>
                <w:szCs w:val="18"/>
                <w:vertAlign w:val="subscript"/>
                <w:lang w:val="en-US"/>
              </w:rPr>
              <w:t>gltA</w:t>
            </w:r>
            <w:r w:rsidRPr="008441F8">
              <w:rPr>
                <w:rFonts w:ascii="Calibri" w:hAnsi="Calibri" w:cs="Calibri"/>
                <w:sz w:val="18"/>
                <w:szCs w:val="18"/>
                <w:lang w:val="en-US"/>
              </w:rPr>
              <w:t>-P</w:t>
            </w:r>
            <w:r w:rsidRPr="008441F8">
              <w:rPr>
                <w:rFonts w:ascii="Calibri" w:hAnsi="Calibri" w:cs="Calibri"/>
                <w:sz w:val="18"/>
                <w:szCs w:val="18"/>
                <w:vertAlign w:val="subscript"/>
                <w:lang w:val="en-US"/>
              </w:rPr>
              <w:t>14a</w:t>
            </w:r>
            <w:r w:rsidRPr="008441F8">
              <w:rPr>
                <w:rFonts w:ascii="Calibri" w:hAnsi="Calibri" w:cs="Calibri"/>
                <w:sz w:val="18"/>
                <w:szCs w:val="18"/>
                <w:lang w:val="en-US"/>
              </w:rPr>
              <w:t xml:space="preserve"> </w:t>
            </w:r>
          </w:p>
        </w:tc>
        <w:tc>
          <w:tcPr>
            <w:tcW w:w="4961" w:type="dxa"/>
          </w:tcPr>
          <w:p w14:paraId="642F5532"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Exchange native promoter region of </w:t>
            </w:r>
            <w:r w:rsidRPr="008441F8">
              <w:rPr>
                <w:rFonts w:ascii="Calibri" w:hAnsi="Calibri" w:cs="Calibri"/>
                <w:i/>
                <w:sz w:val="18"/>
                <w:szCs w:val="18"/>
                <w:lang w:val="en-US"/>
              </w:rPr>
              <w:t>gltA</w:t>
            </w:r>
            <w:r w:rsidRPr="008441F8">
              <w:rPr>
                <w:rFonts w:ascii="Calibri" w:hAnsi="Calibri" w:cs="Calibri"/>
                <w:sz w:val="18"/>
                <w:szCs w:val="18"/>
                <w:lang w:val="en-US"/>
              </w:rPr>
              <w:t xml:space="preserve"> (PVLB_16320) </w:t>
            </w:r>
            <w:r w:rsidRPr="008441F8">
              <w:rPr>
                <w:rFonts w:ascii="Calibri" w:hAnsi="Calibri" w:cs="Calibri"/>
                <w:i/>
                <w:sz w:val="18"/>
                <w:szCs w:val="18"/>
                <w:lang w:val="en-US"/>
              </w:rPr>
              <w:t>P</w:t>
            </w:r>
            <w:r w:rsidRPr="008441F8">
              <w:rPr>
                <w:rFonts w:ascii="Calibri" w:hAnsi="Calibri" w:cs="Calibri"/>
                <w:i/>
                <w:sz w:val="18"/>
                <w:szCs w:val="18"/>
                <w:vertAlign w:val="subscript"/>
                <w:lang w:val="en-US"/>
              </w:rPr>
              <w:t>gltA</w:t>
            </w:r>
            <w:r w:rsidRPr="008441F8">
              <w:rPr>
                <w:rFonts w:ascii="Calibri" w:hAnsi="Calibri" w:cs="Calibri"/>
                <w:sz w:val="18"/>
                <w:szCs w:val="18"/>
                <w:lang w:val="en-US"/>
              </w:rPr>
              <w:t xml:space="preserve"> by </w:t>
            </w:r>
            <w:r w:rsidRPr="008441F8">
              <w:rPr>
                <w:rFonts w:ascii="Calibri" w:hAnsi="Calibri" w:cs="Calibri"/>
                <w:i/>
                <w:iCs/>
                <w:sz w:val="18"/>
                <w:szCs w:val="18"/>
                <w:lang w:val="en-US"/>
              </w:rPr>
              <w:t>P</w:t>
            </w:r>
            <w:r w:rsidRPr="008441F8">
              <w:rPr>
                <w:rFonts w:ascii="Calibri" w:hAnsi="Calibri" w:cs="Calibri"/>
                <w:i/>
                <w:iCs/>
                <w:sz w:val="18"/>
                <w:szCs w:val="18"/>
                <w:vertAlign w:val="subscript"/>
                <w:lang w:val="en-US"/>
              </w:rPr>
              <w:t>14a</w:t>
            </w:r>
            <w:r w:rsidRPr="008441F8">
              <w:rPr>
                <w:rFonts w:ascii="Calibri" w:hAnsi="Calibri" w:cs="Calibri"/>
                <w:sz w:val="18"/>
                <w:szCs w:val="18"/>
                <w:lang w:val="en-US"/>
              </w:rPr>
              <w:t>-BCD2 (</w:t>
            </w:r>
            <w:r w:rsidRPr="008441F8">
              <w:rPr>
                <w:rFonts w:ascii="Calibri" w:hAnsi="Calibri" w:cs="Calibri"/>
                <w:i/>
                <w:iCs/>
                <w:sz w:val="18"/>
                <w:szCs w:val="18"/>
                <w:lang w:val="en-US"/>
              </w:rPr>
              <w:t>P</w:t>
            </w:r>
            <w:r w:rsidRPr="008441F8">
              <w:rPr>
                <w:rFonts w:ascii="Calibri" w:hAnsi="Calibri" w:cs="Calibri"/>
                <w:i/>
                <w:iCs/>
                <w:sz w:val="18"/>
                <w:szCs w:val="18"/>
                <w:vertAlign w:val="subscript"/>
                <w:lang w:val="en-US"/>
              </w:rPr>
              <w:t>14a</w:t>
            </w:r>
            <w:r w:rsidRPr="008441F8">
              <w:rPr>
                <w:rFonts w:ascii="Calibri" w:hAnsi="Calibri" w:cs="Calibri"/>
                <w:sz w:val="18"/>
                <w:szCs w:val="18"/>
                <w:lang w:val="en-US"/>
              </w:rPr>
              <w:t>*)</w:t>
            </w:r>
          </w:p>
        </w:tc>
        <w:tc>
          <w:tcPr>
            <w:tcW w:w="4678" w:type="dxa"/>
          </w:tcPr>
          <w:p w14:paraId="06E43988" w14:textId="77777777" w:rsidR="00AE654E" w:rsidRPr="008441F8" w:rsidRDefault="00AE654E" w:rsidP="000165F5">
            <w:pPr>
              <w:jc w:val="both"/>
              <w:rPr>
                <w:sz w:val="18"/>
                <w:szCs w:val="18"/>
                <w:lang w:val="en-US"/>
              </w:rPr>
            </w:pPr>
            <w:r w:rsidRPr="008441F8">
              <w:rPr>
                <w:sz w:val="18"/>
                <w:szCs w:val="18"/>
                <w:lang w:val="en-US"/>
              </w:rPr>
              <w:t xml:space="preserve">Cut pEMG with EcoRI and XbaI; Fragment </w:t>
            </w:r>
            <w:r w:rsidRPr="008441F8">
              <w:rPr>
                <w:sz w:val="18"/>
                <w:lang w:val="en-US"/>
              </w:rPr>
              <w:t>TS042/TS043 and TS046/TS047 from VLB120 genome, Fragment TS044/TS045 from pBG14a</w:t>
            </w:r>
          </w:p>
        </w:tc>
        <w:tc>
          <w:tcPr>
            <w:tcW w:w="1984" w:type="dxa"/>
          </w:tcPr>
          <w:p w14:paraId="7C7FCC20" w14:textId="77777777" w:rsidR="00AE654E" w:rsidRPr="008441F8" w:rsidRDefault="00AE654E" w:rsidP="000165F5">
            <w:pPr>
              <w:jc w:val="both"/>
              <w:rPr>
                <w:sz w:val="18"/>
                <w:szCs w:val="18"/>
                <w:lang w:val="en-US"/>
              </w:rPr>
            </w:pPr>
            <w:r w:rsidRPr="008441F8">
              <w:rPr>
                <w:sz w:val="18"/>
                <w:szCs w:val="18"/>
                <w:lang w:val="en-US"/>
              </w:rPr>
              <w:t>This study</w:t>
            </w:r>
          </w:p>
          <w:p w14:paraId="4DC6F0E5" w14:textId="77777777" w:rsidR="00AE654E" w:rsidRPr="008441F8" w:rsidRDefault="00AE654E" w:rsidP="000165F5">
            <w:pPr>
              <w:jc w:val="both"/>
              <w:rPr>
                <w:sz w:val="18"/>
                <w:szCs w:val="18"/>
                <w:lang w:val="en-US"/>
              </w:rPr>
            </w:pPr>
            <w:r w:rsidRPr="008441F8">
              <w:rPr>
                <w:sz w:val="18"/>
                <w:szCs w:val="18"/>
                <w:lang w:val="en-US"/>
              </w:rPr>
              <w:t>Plasmid #80</w:t>
            </w:r>
          </w:p>
        </w:tc>
      </w:tr>
      <w:tr w:rsidR="00AE654E" w:rsidRPr="008441F8" w14:paraId="7880A9B1" w14:textId="77777777" w:rsidTr="005B7F65">
        <w:tc>
          <w:tcPr>
            <w:tcW w:w="2547" w:type="dxa"/>
          </w:tcPr>
          <w:p w14:paraId="7A9C2318"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pGNW2-KO-prpC</w:t>
            </w:r>
          </w:p>
        </w:tc>
        <w:tc>
          <w:tcPr>
            <w:tcW w:w="4961" w:type="dxa"/>
          </w:tcPr>
          <w:p w14:paraId="52FB4B46"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w:t>
            </w:r>
            <w:r w:rsidRPr="008441F8">
              <w:rPr>
                <w:rFonts w:ascii="Calibri" w:hAnsi="Calibri" w:cs="Calibri"/>
                <w:i/>
                <w:sz w:val="18"/>
                <w:szCs w:val="18"/>
                <w:lang w:val="en-US"/>
              </w:rPr>
              <w:t>prpC</w:t>
            </w:r>
            <w:r w:rsidRPr="008441F8">
              <w:rPr>
                <w:rFonts w:ascii="Calibri" w:hAnsi="Calibri" w:cs="Calibri"/>
                <w:sz w:val="18"/>
                <w:szCs w:val="18"/>
                <w:lang w:val="en-US"/>
              </w:rPr>
              <w:t xml:space="preserve"> (PVLB_08385)</w:t>
            </w:r>
          </w:p>
        </w:tc>
        <w:tc>
          <w:tcPr>
            <w:tcW w:w="4678" w:type="dxa"/>
          </w:tcPr>
          <w:p w14:paraId="0D83AA81" w14:textId="77777777" w:rsidR="00AE654E" w:rsidRPr="008441F8" w:rsidRDefault="00AE654E" w:rsidP="000165F5">
            <w:pPr>
              <w:jc w:val="both"/>
              <w:rPr>
                <w:sz w:val="18"/>
                <w:szCs w:val="18"/>
                <w:lang w:val="en-US"/>
              </w:rPr>
            </w:pPr>
            <w:r w:rsidRPr="008441F8">
              <w:rPr>
                <w:sz w:val="18"/>
                <w:lang w:val="en-US"/>
              </w:rPr>
              <w:t>Fragment BW682/BW683 from pGNW2; Fragment TS091/TS092 and TS093/TS094 from VLB120 genome</w:t>
            </w:r>
          </w:p>
        </w:tc>
        <w:tc>
          <w:tcPr>
            <w:tcW w:w="1984" w:type="dxa"/>
          </w:tcPr>
          <w:p w14:paraId="0F30C3D3" w14:textId="77777777" w:rsidR="00AE654E" w:rsidRPr="008441F8" w:rsidRDefault="00AE654E" w:rsidP="000165F5">
            <w:pPr>
              <w:jc w:val="both"/>
              <w:rPr>
                <w:sz w:val="18"/>
                <w:szCs w:val="18"/>
                <w:lang w:val="en-US"/>
              </w:rPr>
            </w:pPr>
            <w:r w:rsidRPr="008441F8">
              <w:rPr>
                <w:sz w:val="18"/>
                <w:szCs w:val="18"/>
                <w:lang w:val="en-US"/>
              </w:rPr>
              <w:t>This study</w:t>
            </w:r>
          </w:p>
          <w:p w14:paraId="5CD52887" w14:textId="77777777" w:rsidR="00AE654E" w:rsidRPr="008441F8" w:rsidRDefault="00AE654E" w:rsidP="000165F5">
            <w:pPr>
              <w:jc w:val="both"/>
              <w:rPr>
                <w:sz w:val="18"/>
                <w:szCs w:val="18"/>
                <w:lang w:val="en-US"/>
              </w:rPr>
            </w:pPr>
            <w:r w:rsidRPr="008441F8">
              <w:rPr>
                <w:sz w:val="18"/>
                <w:szCs w:val="18"/>
                <w:lang w:val="en-US"/>
              </w:rPr>
              <w:t>Plasmid #90</w:t>
            </w:r>
          </w:p>
        </w:tc>
      </w:tr>
      <w:tr w:rsidR="00AE654E" w:rsidRPr="008441F8" w14:paraId="4A0D7C4D" w14:textId="77777777" w:rsidTr="005B7F65">
        <w:tc>
          <w:tcPr>
            <w:tcW w:w="2547" w:type="dxa"/>
          </w:tcPr>
          <w:p w14:paraId="7AFAE5A8"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pEMG-KO-gltA</w:t>
            </w:r>
          </w:p>
        </w:tc>
        <w:tc>
          <w:tcPr>
            <w:tcW w:w="4961" w:type="dxa"/>
          </w:tcPr>
          <w:p w14:paraId="06494FB4"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w:t>
            </w:r>
            <w:r w:rsidRPr="008441F8">
              <w:rPr>
                <w:rFonts w:ascii="Calibri" w:hAnsi="Calibri" w:cs="Calibri"/>
                <w:i/>
                <w:sz w:val="18"/>
                <w:szCs w:val="18"/>
                <w:lang w:val="en-US"/>
              </w:rPr>
              <w:t>gltA</w:t>
            </w:r>
            <w:r w:rsidRPr="008441F8">
              <w:rPr>
                <w:rFonts w:ascii="Calibri" w:hAnsi="Calibri" w:cs="Calibri"/>
                <w:sz w:val="18"/>
                <w:szCs w:val="18"/>
                <w:lang w:val="en-US"/>
              </w:rPr>
              <w:t xml:space="preserve"> (PVLB_16320)</w:t>
            </w:r>
          </w:p>
        </w:tc>
        <w:tc>
          <w:tcPr>
            <w:tcW w:w="4678" w:type="dxa"/>
          </w:tcPr>
          <w:p w14:paraId="45834EA2" w14:textId="77777777" w:rsidR="00AE654E" w:rsidRPr="008441F8" w:rsidRDefault="00AE654E" w:rsidP="000165F5">
            <w:pPr>
              <w:jc w:val="both"/>
              <w:rPr>
                <w:sz w:val="18"/>
                <w:szCs w:val="18"/>
                <w:lang w:val="en-US"/>
              </w:rPr>
            </w:pPr>
            <w:r w:rsidRPr="008441F8">
              <w:rPr>
                <w:sz w:val="18"/>
                <w:szCs w:val="18"/>
                <w:lang w:val="en-US"/>
              </w:rPr>
              <w:t xml:space="preserve">Cut pEMG with EcoRI and XbaI; Fragment </w:t>
            </w:r>
            <w:r w:rsidRPr="008441F8">
              <w:rPr>
                <w:sz w:val="18"/>
                <w:lang w:val="en-US"/>
              </w:rPr>
              <w:t>TS042/TS097 and TS098/TS099 from VLB120 genome</w:t>
            </w:r>
          </w:p>
        </w:tc>
        <w:tc>
          <w:tcPr>
            <w:tcW w:w="1984" w:type="dxa"/>
          </w:tcPr>
          <w:p w14:paraId="596C7710" w14:textId="77777777" w:rsidR="00AE654E" w:rsidRPr="008441F8" w:rsidRDefault="00AE654E" w:rsidP="000165F5">
            <w:pPr>
              <w:jc w:val="both"/>
              <w:rPr>
                <w:sz w:val="18"/>
                <w:szCs w:val="18"/>
                <w:lang w:val="en-US"/>
              </w:rPr>
            </w:pPr>
            <w:r w:rsidRPr="008441F8">
              <w:rPr>
                <w:sz w:val="18"/>
                <w:szCs w:val="18"/>
                <w:lang w:val="en-US"/>
              </w:rPr>
              <w:t>This study</w:t>
            </w:r>
          </w:p>
          <w:p w14:paraId="31209554" w14:textId="77777777" w:rsidR="00AE654E" w:rsidRPr="008441F8" w:rsidRDefault="00AE654E" w:rsidP="000165F5">
            <w:pPr>
              <w:jc w:val="both"/>
              <w:rPr>
                <w:sz w:val="18"/>
                <w:szCs w:val="18"/>
                <w:lang w:val="en-US"/>
              </w:rPr>
            </w:pPr>
            <w:r w:rsidRPr="008441F8">
              <w:rPr>
                <w:sz w:val="18"/>
                <w:szCs w:val="18"/>
                <w:lang w:val="en-US"/>
              </w:rPr>
              <w:t>Plasmid #91</w:t>
            </w:r>
          </w:p>
        </w:tc>
      </w:tr>
      <w:tr w:rsidR="00AE654E" w:rsidRPr="008441F8" w14:paraId="1A313B2B" w14:textId="77777777" w:rsidTr="005B7F65">
        <w:tc>
          <w:tcPr>
            <w:tcW w:w="2547" w:type="dxa"/>
          </w:tcPr>
          <w:p w14:paraId="02666613"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pSNW2-KO-gltA-apra</w:t>
            </w:r>
            <w:r w:rsidRPr="008441F8">
              <w:rPr>
                <w:rFonts w:ascii="Calibri" w:hAnsi="Calibri" w:cs="Calibri"/>
                <w:sz w:val="18"/>
                <w:szCs w:val="18"/>
                <w:vertAlign w:val="superscript"/>
                <w:lang w:val="en-US"/>
              </w:rPr>
              <w:t>R</w:t>
            </w:r>
          </w:p>
        </w:tc>
        <w:tc>
          <w:tcPr>
            <w:tcW w:w="4961" w:type="dxa"/>
          </w:tcPr>
          <w:p w14:paraId="2D66A10C"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w:t>
            </w:r>
            <w:r w:rsidRPr="008441F8">
              <w:rPr>
                <w:rFonts w:ascii="Calibri" w:hAnsi="Calibri" w:cs="Calibri"/>
                <w:i/>
                <w:sz w:val="18"/>
                <w:szCs w:val="18"/>
                <w:lang w:val="en-US"/>
              </w:rPr>
              <w:t>gltA</w:t>
            </w:r>
            <w:r w:rsidRPr="008441F8">
              <w:rPr>
                <w:rFonts w:ascii="Calibri" w:hAnsi="Calibri" w:cs="Calibri"/>
                <w:sz w:val="18"/>
                <w:szCs w:val="18"/>
                <w:lang w:val="en-US"/>
              </w:rPr>
              <w:t xml:space="preserve"> (leave 99bp) and exchange with apramycin resistance </w:t>
            </w:r>
          </w:p>
        </w:tc>
        <w:tc>
          <w:tcPr>
            <w:tcW w:w="4678" w:type="dxa"/>
          </w:tcPr>
          <w:p w14:paraId="553D2167" w14:textId="77777777" w:rsidR="00AE654E" w:rsidRPr="008441F8" w:rsidRDefault="00AE654E" w:rsidP="000165F5">
            <w:pPr>
              <w:jc w:val="both"/>
              <w:rPr>
                <w:sz w:val="18"/>
                <w:szCs w:val="18"/>
                <w:lang w:val="en-US"/>
              </w:rPr>
            </w:pPr>
            <w:r w:rsidRPr="008441F8">
              <w:rPr>
                <w:sz w:val="18"/>
                <w:szCs w:val="18"/>
                <w:lang w:val="en-US"/>
              </w:rPr>
              <w:t xml:space="preserve">Cut pSNW2 with EcoRI and XbaI; Fragment </w:t>
            </w:r>
            <w:r w:rsidRPr="008441F8">
              <w:rPr>
                <w:sz w:val="18"/>
                <w:lang w:val="en-US"/>
              </w:rPr>
              <w:t>TS042/TS097 and TS189/TS099 from VLB120 genome, Fragment TS187/TS188 from pQT8</w:t>
            </w:r>
          </w:p>
        </w:tc>
        <w:tc>
          <w:tcPr>
            <w:tcW w:w="1984" w:type="dxa"/>
          </w:tcPr>
          <w:p w14:paraId="2537474F" w14:textId="77777777" w:rsidR="00AE654E" w:rsidRPr="008441F8" w:rsidRDefault="00AE654E" w:rsidP="000165F5">
            <w:pPr>
              <w:jc w:val="both"/>
              <w:rPr>
                <w:sz w:val="18"/>
                <w:szCs w:val="18"/>
                <w:lang w:val="en-US"/>
              </w:rPr>
            </w:pPr>
            <w:r w:rsidRPr="008441F8">
              <w:rPr>
                <w:sz w:val="18"/>
                <w:szCs w:val="18"/>
                <w:lang w:val="en-US"/>
              </w:rPr>
              <w:t>This study</w:t>
            </w:r>
          </w:p>
          <w:p w14:paraId="54B761D6" w14:textId="77777777" w:rsidR="00AE654E" w:rsidRPr="008441F8" w:rsidRDefault="00AE654E" w:rsidP="000165F5">
            <w:pPr>
              <w:jc w:val="both"/>
              <w:rPr>
                <w:sz w:val="18"/>
                <w:szCs w:val="18"/>
                <w:lang w:val="en-US"/>
              </w:rPr>
            </w:pPr>
            <w:r w:rsidRPr="008441F8">
              <w:rPr>
                <w:sz w:val="18"/>
                <w:szCs w:val="18"/>
                <w:lang w:val="en-US"/>
              </w:rPr>
              <w:t>Plasmid #190</w:t>
            </w:r>
          </w:p>
        </w:tc>
      </w:tr>
      <w:tr w:rsidR="00AE654E" w:rsidRPr="008441F8" w14:paraId="3C68854E" w14:textId="77777777" w:rsidTr="005B7F65">
        <w:tc>
          <w:tcPr>
            <w:tcW w:w="2547" w:type="dxa"/>
          </w:tcPr>
          <w:p w14:paraId="6DB78DBA"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pEMG-Ex-gltA-prpC</w:t>
            </w:r>
          </w:p>
        </w:tc>
        <w:tc>
          <w:tcPr>
            <w:tcW w:w="4961" w:type="dxa"/>
          </w:tcPr>
          <w:p w14:paraId="35C4FFBF"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Exchange of </w:t>
            </w:r>
            <w:r w:rsidRPr="008441F8">
              <w:rPr>
                <w:rFonts w:ascii="Calibri" w:hAnsi="Calibri" w:cs="Calibri"/>
                <w:i/>
                <w:sz w:val="18"/>
                <w:szCs w:val="18"/>
                <w:lang w:val="en-US"/>
              </w:rPr>
              <w:t>gltA</w:t>
            </w:r>
            <w:r w:rsidRPr="008441F8">
              <w:rPr>
                <w:rFonts w:ascii="Calibri" w:hAnsi="Calibri" w:cs="Calibri"/>
                <w:sz w:val="18"/>
                <w:szCs w:val="18"/>
                <w:lang w:val="en-US"/>
              </w:rPr>
              <w:t xml:space="preserve"> (leave 99bp) with </w:t>
            </w:r>
            <w:r w:rsidRPr="008441F8">
              <w:rPr>
                <w:rFonts w:ascii="Calibri" w:hAnsi="Calibri" w:cs="Calibri"/>
                <w:i/>
                <w:iCs/>
                <w:sz w:val="18"/>
                <w:szCs w:val="18"/>
                <w:lang w:val="en-US"/>
              </w:rPr>
              <w:t>prpC</w:t>
            </w:r>
          </w:p>
        </w:tc>
        <w:tc>
          <w:tcPr>
            <w:tcW w:w="4678" w:type="dxa"/>
          </w:tcPr>
          <w:p w14:paraId="619420DF" w14:textId="77777777" w:rsidR="00AE654E" w:rsidRPr="008441F8" w:rsidRDefault="00AE654E" w:rsidP="000165F5">
            <w:pPr>
              <w:jc w:val="both"/>
              <w:rPr>
                <w:sz w:val="18"/>
                <w:szCs w:val="18"/>
                <w:lang w:val="en-US"/>
              </w:rPr>
            </w:pPr>
            <w:r w:rsidRPr="008441F8">
              <w:rPr>
                <w:sz w:val="18"/>
                <w:szCs w:val="18"/>
                <w:lang w:val="en-US"/>
              </w:rPr>
              <w:t xml:space="preserve">Cut pEMG with EcoRI and XbaI; Fragment </w:t>
            </w:r>
            <w:r w:rsidRPr="008441F8">
              <w:rPr>
                <w:sz w:val="18"/>
                <w:lang w:val="en-US"/>
              </w:rPr>
              <w:t>TS042/TS097 and TS101/TS099 and TS102/TS103 from VLB120 genome</w:t>
            </w:r>
          </w:p>
        </w:tc>
        <w:tc>
          <w:tcPr>
            <w:tcW w:w="1984" w:type="dxa"/>
          </w:tcPr>
          <w:p w14:paraId="0ABDE6BA" w14:textId="77777777" w:rsidR="00AE654E" w:rsidRPr="008441F8" w:rsidRDefault="00AE654E" w:rsidP="000165F5">
            <w:pPr>
              <w:jc w:val="both"/>
              <w:rPr>
                <w:sz w:val="18"/>
                <w:szCs w:val="18"/>
                <w:lang w:val="en-US"/>
              </w:rPr>
            </w:pPr>
            <w:r w:rsidRPr="008441F8">
              <w:rPr>
                <w:sz w:val="18"/>
                <w:szCs w:val="18"/>
                <w:lang w:val="en-US"/>
              </w:rPr>
              <w:t>This study</w:t>
            </w:r>
          </w:p>
          <w:p w14:paraId="32492DA3" w14:textId="77777777" w:rsidR="00AE654E" w:rsidRPr="008441F8" w:rsidRDefault="00AE654E" w:rsidP="000165F5">
            <w:pPr>
              <w:jc w:val="both"/>
              <w:rPr>
                <w:sz w:val="18"/>
                <w:szCs w:val="18"/>
                <w:lang w:val="en-US"/>
              </w:rPr>
            </w:pPr>
            <w:r w:rsidRPr="008441F8">
              <w:rPr>
                <w:sz w:val="18"/>
                <w:szCs w:val="18"/>
                <w:lang w:val="en-US"/>
              </w:rPr>
              <w:t>Plasmid #92</w:t>
            </w:r>
          </w:p>
        </w:tc>
      </w:tr>
      <w:tr w:rsidR="00AE654E" w:rsidRPr="008441F8" w14:paraId="3F6C1279" w14:textId="77777777" w:rsidTr="005B7F65">
        <w:tc>
          <w:tcPr>
            <w:tcW w:w="2547" w:type="dxa"/>
          </w:tcPr>
          <w:p w14:paraId="10CED8EE"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pEMG-Ex-gltA-prpC with </w:t>
            </w:r>
            <w:r w:rsidRPr="008441F8">
              <w:rPr>
                <w:rFonts w:ascii="Calibri" w:hAnsi="Calibri" w:cs="Calibri"/>
                <w:i/>
                <w:sz w:val="18"/>
                <w:szCs w:val="18"/>
                <w:lang w:val="en-US"/>
              </w:rPr>
              <w:t>P</w:t>
            </w:r>
            <w:r w:rsidRPr="008441F8">
              <w:rPr>
                <w:rFonts w:ascii="Calibri" w:hAnsi="Calibri" w:cs="Calibri"/>
                <w:i/>
                <w:sz w:val="18"/>
                <w:szCs w:val="18"/>
                <w:vertAlign w:val="subscript"/>
                <w:lang w:val="en-US"/>
              </w:rPr>
              <w:t>14a</w:t>
            </w:r>
          </w:p>
        </w:tc>
        <w:tc>
          <w:tcPr>
            <w:tcW w:w="4961" w:type="dxa"/>
          </w:tcPr>
          <w:p w14:paraId="6A64E2E6"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Exchange of </w:t>
            </w:r>
            <w:r w:rsidRPr="008441F8">
              <w:rPr>
                <w:rFonts w:ascii="Calibri" w:hAnsi="Calibri" w:cs="Calibri"/>
                <w:i/>
                <w:iCs/>
                <w:sz w:val="18"/>
                <w:szCs w:val="18"/>
                <w:lang w:val="en-US"/>
              </w:rPr>
              <w:t>P</w:t>
            </w:r>
            <w:r w:rsidRPr="008441F8">
              <w:rPr>
                <w:rFonts w:ascii="Calibri" w:hAnsi="Calibri" w:cs="Calibri"/>
                <w:i/>
                <w:iCs/>
                <w:sz w:val="18"/>
                <w:szCs w:val="18"/>
                <w:vertAlign w:val="subscript"/>
                <w:lang w:val="en-US"/>
              </w:rPr>
              <w:t>gltA</w:t>
            </w:r>
            <w:r w:rsidRPr="008441F8">
              <w:rPr>
                <w:rFonts w:ascii="Calibri" w:hAnsi="Calibri" w:cs="Calibri"/>
                <w:sz w:val="18"/>
                <w:szCs w:val="18"/>
                <w:lang w:val="en-US"/>
              </w:rPr>
              <w:t xml:space="preserve"> by </w:t>
            </w:r>
            <w:r w:rsidRPr="008441F8">
              <w:rPr>
                <w:rFonts w:ascii="Calibri" w:hAnsi="Calibri" w:cs="Calibri"/>
                <w:i/>
                <w:iCs/>
                <w:sz w:val="18"/>
                <w:szCs w:val="18"/>
                <w:lang w:val="en-US"/>
              </w:rPr>
              <w:t>P</w:t>
            </w:r>
            <w:r w:rsidRPr="008441F8">
              <w:rPr>
                <w:rFonts w:ascii="Calibri" w:hAnsi="Calibri" w:cs="Calibri"/>
                <w:i/>
                <w:iCs/>
                <w:sz w:val="18"/>
                <w:szCs w:val="18"/>
                <w:vertAlign w:val="subscript"/>
                <w:lang w:val="en-US"/>
              </w:rPr>
              <w:t>14a</w:t>
            </w:r>
            <w:r w:rsidRPr="008441F8">
              <w:rPr>
                <w:rFonts w:ascii="Calibri" w:hAnsi="Calibri" w:cs="Calibri"/>
                <w:sz w:val="18"/>
                <w:szCs w:val="18"/>
                <w:lang w:val="en-US"/>
              </w:rPr>
              <w:t xml:space="preserve">* and exchange of </w:t>
            </w:r>
            <w:r w:rsidRPr="008441F8">
              <w:rPr>
                <w:rFonts w:ascii="Calibri" w:hAnsi="Calibri" w:cs="Calibri"/>
                <w:i/>
                <w:sz w:val="18"/>
                <w:szCs w:val="18"/>
                <w:lang w:val="en-US"/>
              </w:rPr>
              <w:t>gltA</w:t>
            </w:r>
            <w:r w:rsidRPr="008441F8">
              <w:rPr>
                <w:rFonts w:ascii="Calibri" w:hAnsi="Calibri" w:cs="Calibri"/>
                <w:sz w:val="18"/>
                <w:szCs w:val="18"/>
                <w:lang w:val="en-US"/>
              </w:rPr>
              <w:t xml:space="preserve"> (leave 99bp) with prpC</w:t>
            </w:r>
          </w:p>
        </w:tc>
        <w:tc>
          <w:tcPr>
            <w:tcW w:w="4678" w:type="dxa"/>
          </w:tcPr>
          <w:p w14:paraId="3B61737D" w14:textId="77777777" w:rsidR="00AE654E" w:rsidRPr="008441F8" w:rsidRDefault="00AE654E" w:rsidP="000165F5">
            <w:pPr>
              <w:jc w:val="both"/>
              <w:rPr>
                <w:sz w:val="18"/>
                <w:szCs w:val="18"/>
                <w:lang w:val="en-US"/>
              </w:rPr>
            </w:pPr>
            <w:r w:rsidRPr="008441F8">
              <w:rPr>
                <w:sz w:val="18"/>
                <w:szCs w:val="18"/>
                <w:lang w:val="en-US"/>
              </w:rPr>
              <w:t xml:space="preserve">Cut pEMG with EcoRI and XbaI; Fragment </w:t>
            </w:r>
            <w:r w:rsidRPr="008441F8">
              <w:rPr>
                <w:sz w:val="18"/>
                <w:lang w:val="en-US"/>
              </w:rPr>
              <w:t>TS101/TS099 and TS102/TS103 from VLB120 genome, TS042/TS097 from VLB-genome with P</w:t>
            </w:r>
            <w:r w:rsidRPr="008441F8">
              <w:rPr>
                <w:sz w:val="18"/>
                <w:vertAlign w:val="subscript"/>
                <w:lang w:val="en-US"/>
              </w:rPr>
              <w:t>GltA</w:t>
            </w:r>
            <w:r w:rsidRPr="008441F8">
              <w:rPr>
                <w:sz w:val="18"/>
                <w:lang w:val="en-US"/>
              </w:rPr>
              <w:t>::P</w:t>
            </w:r>
            <w:r w:rsidRPr="008441F8">
              <w:rPr>
                <w:sz w:val="18"/>
                <w:vertAlign w:val="subscript"/>
                <w:lang w:val="en-US"/>
              </w:rPr>
              <w:t>14a</w:t>
            </w:r>
            <w:r w:rsidRPr="008441F8">
              <w:rPr>
                <w:sz w:val="18"/>
                <w:lang w:val="en-US"/>
              </w:rPr>
              <w:t>*</w:t>
            </w:r>
          </w:p>
        </w:tc>
        <w:tc>
          <w:tcPr>
            <w:tcW w:w="1984" w:type="dxa"/>
          </w:tcPr>
          <w:p w14:paraId="24984566" w14:textId="77777777" w:rsidR="00AE654E" w:rsidRPr="008441F8" w:rsidRDefault="00AE654E" w:rsidP="000165F5">
            <w:pPr>
              <w:jc w:val="both"/>
              <w:rPr>
                <w:sz w:val="18"/>
                <w:szCs w:val="18"/>
                <w:lang w:val="en-US"/>
              </w:rPr>
            </w:pPr>
            <w:r w:rsidRPr="008441F8">
              <w:rPr>
                <w:sz w:val="18"/>
                <w:szCs w:val="18"/>
                <w:lang w:val="en-US"/>
              </w:rPr>
              <w:t>This study</w:t>
            </w:r>
          </w:p>
          <w:p w14:paraId="00AB1C5F" w14:textId="77777777" w:rsidR="00AE654E" w:rsidRPr="008441F8" w:rsidRDefault="00AE654E" w:rsidP="000165F5">
            <w:pPr>
              <w:jc w:val="both"/>
              <w:rPr>
                <w:sz w:val="18"/>
                <w:szCs w:val="18"/>
                <w:lang w:val="en-US"/>
              </w:rPr>
            </w:pPr>
            <w:r w:rsidRPr="008441F8">
              <w:rPr>
                <w:sz w:val="18"/>
                <w:szCs w:val="18"/>
                <w:lang w:val="en-US"/>
              </w:rPr>
              <w:t>Plasmid #93</w:t>
            </w:r>
          </w:p>
        </w:tc>
      </w:tr>
      <w:tr w:rsidR="00AE654E" w:rsidRPr="008441F8" w14:paraId="49D66822" w14:textId="77777777" w:rsidTr="005B7F65">
        <w:tc>
          <w:tcPr>
            <w:tcW w:w="2547" w:type="dxa"/>
          </w:tcPr>
          <w:p w14:paraId="300D7B02"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pEMG-KO-phaCZCII</w:t>
            </w:r>
          </w:p>
        </w:tc>
        <w:tc>
          <w:tcPr>
            <w:tcW w:w="4961" w:type="dxa"/>
          </w:tcPr>
          <w:p w14:paraId="1034D2DF"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w:t>
            </w:r>
            <w:r w:rsidRPr="008441F8">
              <w:rPr>
                <w:rFonts w:ascii="Calibri" w:hAnsi="Calibri" w:cs="Calibri"/>
                <w:i/>
                <w:sz w:val="18"/>
                <w:szCs w:val="18"/>
                <w:lang w:val="en-US"/>
              </w:rPr>
              <w:t>phaCZC2</w:t>
            </w:r>
            <w:r w:rsidRPr="008441F8">
              <w:rPr>
                <w:rFonts w:ascii="Calibri" w:hAnsi="Calibri" w:cs="Calibri"/>
                <w:sz w:val="18"/>
                <w:szCs w:val="18"/>
                <w:lang w:val="en-US"/>
              </w:rPr>
              <w:t xml:space="preserve"> (PVLB_02155-65)</w:t>
            </w:r>
          </w:p>
        </w:tc>
        <w:tc>
          <w:tcPr>
            <w:tcW w:w="4678" w:type="dxa"/>
          </w:tcPr>
          <w:p w14:paraId="558A7201" w14:textId="77777777" w:rsidR="00AE654E" w:rsidRPr="008441F8" w:rsidRDefault="00AE654E" w:rsidP="000165F5">
            <w:pPr>
              <w:jc w:val="both"/>
              <w:rPr>
                <w:sz w:val="18"/>
                <w:szCs w:val="18"/>
                <w:lang w:val="en-US"/>
              </w:rPr>
            </w:pPr>
          </w:p>
        </w:tc>
        <w:tc>
          <w:tcPr>
            <w:tcW w:w="1984" w:type="dxa"/>
          </w:tcPr>
          <w:p w14:paraId="3B4464A9"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{"citationItems":[{"id":"ITEM-1","itemData":{"DOI":"10.1016/j.ymben.2020.08.003","author":[{"dropping-particle":"","family":"Nies","given":"Salome C","non-dropping-particle":"","parse-names":false,"suffix":""},{"dropping-particle":"","family":"Alter","given":"Tobias B","non-dropping-particle":"","parse-names":false,"suffix":""},{"dropping-particle":"","family":"Nölting","given":"Sophia","non-dropping-particle":"","parse-names":false,"suffix":""},{"dropping-particle":"","family":"Thiery","given":"Susanne","non-dropping-particle":"","parse-names":false,"suffix":""},{"dropping-particle":"","family":"Phan","given":"An N T","non-dropping-particle":"","parse-names":false,"suffix":""}],"container-title":"Metabolic Engineering","id":"ITEM-1","issued":{"date-parts":[["2020"]]},"page":"84-94","title":"High titer methyl ketone production with tailored &lt;i&gt;Pseudomonas taiwanensis&lt;/i&gt; VLB120","type":"article-journal","volume":"62"},"uris":["http://www.mendeley.com/documents/?uuid=989fc96d-be48-48bd-90c1-1789860b4240"]}],"mendeley":{"formattedCitation":"(Nies et al., 2020)","manualFormatting":"Nies et al. (2020)","plainTextFormattedCitation":"(Nies et al., 2020)","previouslyFormattedCitation":"(Nies et al., 2020)"},"properties":{"noteIndex":0},"schema":"https://github.com/citation-style-language/schema/raw/master/csl-citation.json"}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Nies et al. (2020)</w:t>
            </w:r>
            <w:r w:rsidRPr="008441F8">
              <w:rPr>
                <w:sz w:val="18"/>
                <w:szCs w:val="18"/>
                <w:lang w:val="en-US"/>
              </w:rPr>
              <w:fldChar w:fldCharType="end"/>
            </w:r>
          </w:p>
        </w:tc>
      </w:tr>
      <w:tr w:rsidR="00AE654E" w:rsidRPr="008441F8" w14:paraId="14D2FBC4" w14:textId="77777777" w:rsidTr="005B7F65">
        <w:tc>
          <w:tcPr>
            <w:tcW w:w="2547" w:type="dxa"/>
          </w:tcPr>
          <w:p w14:paraId="4165B7CB"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pEMG-KO-tesB</w:t>
            </w:r>
          </w:p>
        </w:tc>
        <w:tc>
          <w:tcPr>
            <w:tcW w:w="4961" w:type="dxa"/>
          </w:tcPr>
          <w:p w14:paraId="7648BF9C"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w:t>
            </w:r>
            <w:r w:rsidRPr="008441F8">
              <w:rPr>
                <w:rFonts w:ascii="Calibri" w:hAnsi="Calibri" w:cs="Calibri"/>
                <w:i/>
                <w:sz w:val="18"/>
                <w:szCs w:val="18"/>
                <w:lang w:val="en-US"/>
              </w:rPr>
              <w:t>tesB</w:t>
            </w:r>
            <w:r w:rsidRPr="008441F8">
              <w:rPr>
                <w:rFonts w:ascii="Calibri" w:hAnsi="Calibri" w:cs="Calibri"/>
                <w:sz w:val="18"/>
                <w:szCs w:val="18"/>
                <w:lang w:val="en-US"/>
              </w:rPr>
              <w:t xml:space="preserve"> (PVLB_03305)</w:t>
            </w:r>
          </w:p>
        </w:tc>
        <w:tc>
          <w:tcPr>
            <w:tcW w:w="4678" w:type="dxa"/>
          </w:tcPr>
          <w:p w14:paraId="5FEBADD8" w14:textId="77777777" w:rsidR="00AE654E" w:rsidRPr="008441F8" w:rsidRDefault="00AE654E" w:rsidP="000165F5">
            <w:pPr>
              <w:jc w:val="both"/>
              <w:rPr>
                <w:sz w:val="18"/>
                <w:szCs w:val="18"/>
                <w:lang w:val="en-US"/>
              </w:rPr>
            </w:pPr>
          </w:p>
        </w:tc>
        <w:tc>
          <w:tcPr>
            <w:tcW w:w="1984" w:type="dxa"/>
          </w:tcPr>
          <w:p w14:paraId="6F792024"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{"citationItems":[{"id":"ITEM-1","itemData":{"DOI":"10.1016/j.ymben.2020.08.003","author":[{"dropping-particle":"","family":"Nies","given":"Salome C","non-dropping-particle":"","parse-names":false,"suffix":""},{"dropping-particle":"","family":"Alter","given":"Tobias B","non-dropping-particle":"","parse-names":false,"suffix":""},{"dropping-particle":"","family":"Nölting","given":"Sophia","non-dropping-particle":"","parse-names":false,"suffix":""},{"dropping-particle":"","family":"Thiery","given":"Susanne","non-dropping-particle":"","parse-names":false,"suffix":""},{"dropping-particle":"","family":"Phan","given":"An N T","non-dropping-particle":"","parse-names":false,"suffix":""}],"container-title":"Metabolic Engineering","id":"ITEM-1","issued":{"date-parts":[["2020"]]},"page":"84-94","title":"High titer methyl ketone production with tailored &lt;i&gt;Pseudomonas taiwanensis&lt;/i&gt; VLB120","type":"article-journal","volume":"62"},"uris":["http://www.mendeley.com/documents/?uuid=989fc96d-be48-48bd-90c1-1789860b4240"]}],"mendeley":{"formattedCitation":"(Nies et al., 2020)","manualFormatting":"Nies et al. (2020)","plainTextFormattedCitation":"(Nies et al., 2020)","previouslyFormattedCitation":"(Nies et al., 2020)"},"properties":{"noteIndex":0},"schema":"https://github.com/citation-style-language/schema/raw/master/csl-citation.json"}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Nies et al. (2020)</w:t>
            </w:r>
            <w:r w:rsidRPr="008441F8">
              <w:rPr>
                <w:sz w:val="18"/>
                <w:szCs w:val="18"/>
                <w:lang w:val="en-US"/>
              </w:rPr>
              <w:fldChar w:fldCharType="end"/>
            </w:r>
          </w:p>
        </w:tc>
      </w:tr>
      <w:tr w:rsidR="00AE654E" w:rsidRPr="008441F8" w14:paraId="6D5A5B52" w14:textId="77777777" w:rsidTr="005B7F65">
        <w:tc>
          <w:tcPr>
            <w:tcW w:w="2547" w:type="dxa"/>
          </w:tcPr>
          <w:p w14:paraId="7D115D40"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pEMGg-aroF-1</w:t>
            </w:r>
            <w:r w:rsidRPr="008441F8">
              <w:rPr>
                <w:rFonts w:ascii="Calibri" w:hAnsi="Calibri" w:cs="Calibri"/>
                <w:sz w:val="18"/>
                <w:szCs w:val="18"/>
                <w:vertAlign w:val="superscript"/>
                <w:lang w:val="en-US"/>
              </w:rPr>
              <w:t>P148L</w:t>
            </w:r>
          </w:p>
        </w:tc>
        <w:tc>
          <w:tcPr>
            <w:tcW w:w="4961" w:type="dxa"/>
          </w:tcPr>
          <w:p w14:paraId="1E33524B"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Genomic exchange of CCG</w:t>
            </w:r>
            <w:r w:rsidRPr="008441F8">
              <w:rPr>
                <w:rFonts w:ascii="Calibri" w:hAnsi="Calibri" w:cs="Calibri"/>
                <w:sz w:val="18"/>
                <w:szCs w:val="18"/>
                <w:vertAlign w:val="subscript"/>
                <w:lang w:val="en-US"/>
              </w:rPr>
              <w:t>442</w:t>
            </w:r>
            <w:r w:rsidRPr="008441F8">
              <w:rPr>
                <w:rFonts w:ascii="Calibri" w:hAnsi="Calibri" w:cs="Calibri"/>
                <w:sz w:val="18"/>
                <w:szCs w:val="18"/>
                <w:lang w:val="en-US"/>
              </w:rPr>
              <w:t xml:space="preserve"> -&gt; CTG (P148L) in </w:t>
            </w:r>
            <w:r w:rsidRPr="008441F8">
              <w:rPr>
                <w:rFonts w:ascii="Calibri" w:hAnsi="Calibri" w:cs="Calibri"/>
                <w:i/>
                <w:iCs/>
                <w:sz w:val="18"/>
                <w:szCs w:val="18"/>
                <w:lang w:val="en-US"/>
              </w:rPr>
              <w:t>aroF-1</w:t>
            </w:r>
            <w:r w:rsidRPr="008441F8">
              <w:rPr>
                <w:rFonts w:ascii="Calibri" w:hAnsi="Calibri" w:cs="Calibri"/>
                <w:sz w:val="18"/>
                <w:szCs w:val="18"/>
                <w:lang w:val="en-US"/>
              </w:rPr>
              <w:t xml:space="preserve"> (PVLB_</w:t>
            </w:r>
            <w:r w:rsidRPr="008441F8">
              <w:rPr>
                <w:sz w:val="18"/>
                <w:lang w:val="en-US"/>
              </w:rPr>
              <w:t>08330</w:t>
            </w:r>
            <w:r w:rsidRPr="008441F8">
              <w:rPr>
                <w:rFonts w:ascii="Calibri" w:hAnsi="Calibri" w:cs="Calibri"/>
                <w:sz w:val="18"/>
                <w:szCs w:val="18"/>
                <w:lang w:val="en-US"/>
              </w:rPr>
              <w:t>)</w:t>
            </w:r>
          </w:p>
        </w:tc>
        <w:tc>
          <w:tcPr>
            <w:tcW w:w="4678" w:type="dxa"/>
          </w:tcPr>
          <w:p w14:paraId="31E8CC68" w14:textId="77777777" w:rsidR="00AE654E" w:rsidRPr="008441F8" w:rsidRDefault="00AE654E" w:rsidP="000165F5">
            <w:pPr>
              <w:jc w:val="both"/>
              <w:rPr>
                <w:sz w:val="18"/>
                <w:szCs w:val="18"/>
                <w:lang w:val="en-US"/>
              </w:rPr>
            </w:pPr>
          </w:p>
        </w:tc>
        <w:tc>
          <w:tcPr>
            <w:tcW w:w="1984" w:type="dxa"/>
          </w:tcPr>
          <w:p w14:paraId="4AF67E5C"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{"citationItems":[{"id":"ITEM-1","itemData":{"DOI":"10.1016/j.ymben.2018.03.011","ISSN":"10967184","abstract":"Aromatic chemicals are important building blocks for the production of a multitude of everyday commodities. Currently, aromatics production relies almost exclusively on petrochemical processes. To achieve sustainability, alternative synthesis methods need to be developed. Here, we strived for an efficient production of phenol, a model aromatic compound of industrial relevance, from renewable carbon sources using the solvent-tolerant biocatalyst Pseudomonas taiwanensis VLB120. First, multiple catabolic routes for the degradation of aromatics and related compounds were inactivated, thereby obtaining the chassis strain P. taiwanensis VLB120Δ5 incapable of growing on 4-hydroxybenzoate (ΔpobA), tyrosine (Δhpd), and quinate (ΔquiC, ΔquiC1, ΔquiC2). In this context, a novel gene contributing to the quinate catabolism was identified (quiC2). Second, we employed a combination of reverse- and forward engineering to increase metabolic flux towards the product, using leads obtained from the analysis of aromatics producing Pseudomonas putida strains previously generated by mutagenesis. Phenol production was enabled by the heterologous expression of a codon-optimized and chromosomally integrated tyrosine phenol-lyase encoding gene from Pantoea agglomerans AJ2985 (PaTPL2). The genomic modification of endogenous genes encoding TrpEP290S, AroF-1P148L, and PheAT310I, and the deletion of pykA improved phenol production 17-fold, while also minimizing the burden caused by plasmids and auxotrophies. The additional overexpression of known bottleneck enzymes (AroGfbr, TyrAfbr) derived from Escherichia coli further enhanced phenol titers. The best producing strain P. taiwanensis VLB120Δ5-TPL36 reached yields of 15.8% and 18.5% (Cmol/Cmol) phenol from glucose and glycerol, respectively, in a mineral medium without addition of complex nutrients. This is the highest yield ever reported for microbially produced phenol.","author":[{"dropping-particle":"","family":"Wynands","given":"Benedikt","non-dropping-particle":"","parse-names":false,"suffix":""},{"dropping-particle":"","family":"Lenzen","given":"Christoph","non-dropping-particle":"","parse-names":false,"suffix":""},{"dropping-particle":"","family":"Otto","given":"Maike","non-dropping-particle":"","parse-names":false,"suffix":""},{"dropping-particle":"","family":"Koch","given":"Falk","non-dropping-particle":"","parse-names":false,"suffix":""},{"dropping-particle":"","family":"Blank","given":"Lars M.","non-dropping-particle":"","parse-names":false,"suffix":""},{"dropping-particle":"","family":"Wierckx","given":"Nick","non-dropping-particle":"","parse-names":false,"suffix":""}],"container-title":"Metabolic Engineering","id":"ITEM-1","issue":"December 2017","issued":{"date-parts":[["2018"]]},"page":"121-133","publisher":"Elsevier Inc.","title":"Metabolic engineering of &lt;i&gt;Pseudomonas taiwanensis&lt;/i&gt; VLB120 with minimal genomic modifications for high-yield phenol production","type":"article-journal","volume":"47"},"uris":["http://www.mendeley.com/documents/?uuid=4f57a70f-b323-400a-8556-964eeabbceb1"]}],"mendeley":{"formattedCitation":"(Wynands et al., 2018)","manualFormatting":"Wynands et al. (2018)","plainTextFormattedCitation":"(Wynands et al., 2018)","previouslyFormattedCitation":"(Wynands et al., 2018)"},"properties":{"noteIndex":0},"schema":"https://github.com/citation-style-language/schema/raw/master/csl-citation.json"}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Wynands et al. (2018)</w:t>
            </w:r>
            <w:r w:rsidRPr="008441F8">
              <w:rPr>
                <w:sz w:val="18"/>
                <w:szCs w:val="18"/>
                <w:lang w:val="en-US"/>
              </w:rPr>
              <w:fldChar w:fldCharType="end"/>
            </w:r>
          </w:p>
        </w:tc>
      </w:tr>
      <w:tr w:rsidR="00AE654E" w:rsidRPr="008441F8" w14:paraId="75E9230E" w14:textId="77777777" w:rsidTr="005B7F65">
        <w:tc>
          <w:tcPr>
            <w:tcW w:w="2547" w:type="dxa"/>
          </w:tcPr>
          <w:p w14:paraId="3E6E5911"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pGNW-KO-pycAB</w:t>
            </w:r>
          </w:p>
        </w:tc>
        <w:tc>
          <w:tcPr>
            <w:tcW w:w="4961" w:type="dxa"/>
          </w:tcPr>
          <w:p w14:paraId="2A5BB9D1"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w:t>
            </w:r>
            <w:r w:rsidRPr="008441F8">
              <w:rPr>
                <w:rFonts w:ascii="Calibri" w:hAnsi="Calibri" w:cs="Calibri"/>
                <w:i/>
                <w:sz w:val="18"/>
                <w:szCs w:val="18"/>
                <w:lang w:val="en-US"/>
              </w:rPr>
              <w:t>pycAB</w:t>
            </w:r>
            <w:r w:rsidRPr="008441F8">
              <w:rPr>
                <w:rFonts w:ascii="Calibri" w:hAnsi="Calibri" w:cs="Calibri"/>
                <w:sz w:val="18"/>
                <w:szCs w:val="18"/>
                <w:lang w:val="en-US"/>
              </w:rPr>
              <w:t xml:space="preserve"> (PVLB_25325-25330)</w:t>
            </w:r>
          </w:p>
        </w:tc>
        <w:tc>
          <w:tcPr>
            <w:tcW w:w="4678" w:type="dxa"/>
          </w:tcPr>
          <w:p w14:paraId="1BF45C32" w14:textId="77777777" w:rsidR="00AE654E" w:rsidRPr="008441F8" w:rsidRDefault="00AE654E" w:rsidP="000165F5">
            <w:pPr>
              <w:jc w:val="both"/>
              <w:rPr>
                <w:sz w:val="18"/>
                <w:szCs w:val="18"/>
                <w:lang w:val="en-US"/>
              </w:rPr>
            </w:pPr>
            <w:r w:rsidRPr="008441F8">
              <w:rPr>
                <w:sz w:val="18"/>
                <w:lang w:val="en-US"/>
              </w:rPr>
              <w:t>Fragment BW682/BW683 from pGNW2; Fragment TS135/TS136 and TS137/TS138 from VLB120 genome</w:t>
            </w:r>
          </w:p>
        </w:tc>
        <w:tc>
          <w:tcPr>
            <w:tcW w:w="1984" w:type="dxa"/>
          </w:tcPr>
          <w:p w14:paraId="0881B8C4" w14:textId="77777777" w:rsidR="00AE654E" w:rsidRPr="008441F8" w:rsidRDefault="00AE654E" w:rsidP="000165F5">
            <w:pPr>
              <w:jc w:val="both"/>
              <w:rPr>
                <w:sz w:val="18"/>
                <w:szCs w:val="18"/>
                <w:lang w:val="en-US"/>
              </w:rPr>
            </w:pPr>
            <w:r w:rsidRPr="008441F8">
              <w:rPr>
                <w:sz w:val="18"/>
                <w:szCs w:val="18"/>
                <w:lang w:val="en-US"/>
              </w:rPr>
              <w:t>This study</w:t>
            </w:r>
          </w:p>
          <w:p w14:paraId="7399FF6E" w14:textId="77777777" w:rsidR="00AE654E" w:rsidRPr="008441F8" w:rsidRDefault="00AE654E" w:rsidP="000165F5">
            <w:pPr>
              <w:jc w:val="both"/>
              <w:rPr>
                <w:sz w:val="18"/>
                <w:szCs w:val="18"/>
                <w:lang w:val="en-US"/>
              </w:rPr>
            </w:pPr>
            <w:r w:rsidRPr="008441F8">
              <w:rPr>
                <w:sz w:val="18"/>
                <w:szCs w:val="18"/>
                <w:lang w:val="en-US"/>
              </w:rPr>
              <w:t>Plasmid #135</w:t>
            </w:r>
          </w:p>
        </w:tc>
      </w:tr>
      <w:tr w:rsidR="00AE654E" w:rsidRPr="008441F8" w14:paraId="6D86296F" w14:textId="77777777" w:rsidTr="005B7F65">
        <w:tc>
          <w:tcPr>
            <w:tcW w:w="2547" w:type="dxa"/>
          </w:tcPr>
          <w:p w14:paraId="0BF2D948"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pGNW-KO_FabF</w:t>
            </w:r>
          </w:p>
        </w:tc>
        <w:tc>
          <w:tcPr>
            <w:tcW w:w="4961" w:type="dxa"/>
          </w:tcPr>
          <w:p w14:paraId="7E86691B"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aa residues 1-386 of </w:t>
            </w:r>
            <w:r w:rsidRPr="008441F8">
              <w:rPr>
                <w:rFonts w:ascii="Calibri" w:hAnsi="Calibri" w:cs="Calibri"/>
                <w:i/>
                <w:sz w:val="18"/>
                <w:szCs w:val="18"/>
                <w:lang w:val="en-US"/>
              </w:rPr>
              <w:t>fabF</w:t>
            </w:r>
            <w:r w:rsidRPr="008441F8">
              <w:rPr>
                <w:rFonts w:ascii="Calibri" w:hAnsi="Calibri" w:cs="Calibri"/>
                <w:sz w:val="18"/>
                <w:szCs w:val="18"/>
                <w:lang w:val="en-US"/>
              </w:rPr>
              <w:t xml:space="preserve"> (PVLB_07185) with insertion of unique barcode with stop codon in all reading frames </w:t>
            </w:r>
          </w:p>
        </w:tc>
        <w:tc>
          <w:tcPr>
            <w:tcW w:w="4678" w:type="dxa"/>
          </w:tcPr>
          <w:p w14:paraId="057B3BBB" w14:textId="77777777" w:rsidR="00AE654E" w:rsidRPr="008441F8" w:rsidRDefault="00AE654E" w:rsidP="000165F5">
            <w:pPr>
              <w:jc w:val="both"/>
              <w:rPr>
                <w:sz w:val="18"/>
                <w:szCs w:val="18"/>
                <w:lang w:val="en-US"/>
              </w:rPr>
            </w:pPr>
            <w:r w:rsidRPr="008441F8">
              <w:rPr>
                <w:sz w:val="18"/>
                <w:lang w:val="en-US"/>
              </w:rPr>
              <w:t>Fragment BW682/BW683 from pGNW2; Fragment TS163/TS164 and TS165/TS166 from VLB120 genome</w:t>
            </w:r>
          </w:p>
        </w:tc>
        <w:tc>
          <w:tcPr>
            <w:tcW w:w="1984" w:type="dxa"/>
          </w:tcPr>
          <w:p w14:paraId="63AF1F6B" w14:textId="77777777" w:rsidR="00AE654E" w:rsidRPr="008441F8" w:rsidRDefault="00AE654E" w:rsidP="000165F5">
            <w:pPr>
              <w:jc w:val="both"/>
              <w:rPr>
                <w:sz w:val="18"/>
                <w:szCs w:val="18"/>
                <w:lang w:val="en-US"/>
              </w:rPr>
            </w:pPr>
            <w:r w:rsidRPr="008441F8">
              <w:rPr>
                <w:sz w:val="18"/>
                <w:szCs w:val="18"/>
                <w:lang w:val="en-US"/>
              </w:rPr>
              <w:t>This study</w:t>
            </w:r>
          </w:p>
          <w:p w14:paraId="50552556" w14:textId="77777777" w:rsidR="00AE654E" w:rsidRPr="008441F8" w:rsidRDefault="00AE654E" w:rsidP="000165F5">
            <w:pPr>
              <w:jc w:val="both"/>
              <w:rPr>
                <w:sz w:val="18"/>
                <w:szCs w:val="18"/>
                <w:lang w:val="en-US"/>
              </w:rPr>
            </w:pPr>
            <w:r w:rsidRPr="008441F8">
              <w:rPr>
                <w:sz w:val="18"/>
                <w:szCs w:val="18"/>
                <w:lang w:val="en-US"/>
              </w:rPr>
              <w:t>Plasmid #141</w:t>
            </w:r>
          </w:p>
        </w:tc>
      </w:tr>
      <w:tr w:rsidR="00AE654E" w:rsidRPr="008441F8" w14:paraId="1DD0C260" w14:textId="77777777" w:rsidTr="005B7F65">
        <w:tc>
          <w:tcPr>
            <w:tcW w:w="2547" w:type="dxa"/>
          </w:tcPr>
          <w:p w14:paraId="4EF07552"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pSNW2-KO_PVLB_16225</w:t>
            </w:r>
          </w:p>
        </w:tc>
        <w:tc>
          <w:tcPr>
            <w:tcW w:w="4961" w:type="dxa"/>
          </w:tcPr>
          <w:p w14:paraId="79D19723"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w:t>
            </w:r>
            <w:r w:rsidRPr="008441F8">
              <w:rPr>
                <w:rFonts w:ascii="Calibri" w:hAnsi="Calibri" w:cs="Calibri"/>
                <w:i/>
                <w:sz w:val="18"/>
                <w:szCs w:val="18"/>
                <w:lang w:val="en-US"/>
              </w:rPr>
              <w:t>fabB</w:t>
            </w:r>
            <w:r w:rsidRPr="008441F8">
              <w:rPr>
                <w:rFonts w:ascii="Calibri" w:hAnsi="Calibri" w:cs="Calibri"/>
                <w:sz w:val="18"/>
                <w:szCs w:val="18"/>
                <w:lang w:val="en-US"/>
              </w:rPr>
              <w:t xml:space="preserve"> (PVLB_16225)</w:t>
            </w:r>
          </w:p>
        </w:tc>
        <w:tc>
          <w:tcPr>
            <w:tcW w:w="4678" w:type="dxa"/>
          </w:tcPr>
          <w:p w14:paraId="78A01D70" w14:textId="77777777" w:rsidR="00AE654E" w:rsidRPr="008441F8" w:rsidRDefault="00AE654E" w:rsidP="000165F5">
            <w:pPr>
              <w:jc w:val="both"/>
              <w:rPr>
                <w:sz w:val="18"/>
                <w:lang w:val="en-US"/>
              </w:rPr>
            </w:pPr>
            <w:r w:rsidRPr="008441F8">
              <w:rPr>
                <w:sz w:val="18"/>
                <w:lang w:val="en-US"/>
              </w:rPr>
              <w:t>Fragment BW682/BW683 from pSNW2; Fragment TS254/TS255 and TS256/TS257 from GRC3 genome</w:t>
            </w:r>
          </w:p>
        </w:tc>
        <w:tc>
          <w:tcPr>
            <w:tcW w:w="1984" w:type="dxa"/>
          </w:tcPr>
          <w:p w14:paraId="3196381E" w14:textId="77777777" w:rsidR="00AE654E" w:rsidRPr="008441F8" w:rsidRDefault="00AE654E" w:rsidP="000165F5">
            <w:pPr>
              <w:jc w:val="both"/>
              <w:rPr>
                <w:sz w:val="18"/>
                <w:szCs w:val="18"/>
                <w:lang w:val="en-US"/>
              </w:rPr>
            </w:pPr>
            <w:r w:rsidRPr="008441F8">
              <w:rPr>
                <w:sz w:val="18"/>
                <w:szCs w:val="18"/>
                <w:lang w:val="en-US"/>
              </w:rPr>
              <w:t>This study</w:t>
            </w:r>
          </w:p>
          <w:p w14:paraId="6AF39610" w14:textId="77777777" w:rsidR="00AE654E" w:rsidRPr="008441F8" w:rsidRDefault="00AE654E" w:rsidP="000165F5">
            <w:pPr>
              <w:jc w:val="both"/>
              <w:rPr>
                <w:sz w:val="18"/>
                <w:szCs w:val="18"/>
                <w:lang w:val="en-US"/>
              </w:rPr>
            </w:pPr>
            <w:r w:rsidRPr="008441F8">
              <w:rPr>
                <w:sz w:val="18"/>
                <w:szCs w:val="18"/>
                <w:lang w:val="en-US"/>
              </w:rPr>
              <w:t>Plasmid #289</w:t>
            </w:r>
          </w:p>
        </w:tc>
      </w:tr>
      <w:tr w:rsidR="00AE654E" w:rsidRPr="008441F8" w14:paraId="2C90AD81" w14:textId="77777777" w:rsidTr="005B7F65">
        <w:tc>
          <w:tcPr>
            <w:tcW w:w="2547" w:type="dxa"/>
          </w:tcPr>
          <w:p w14:paraId="6CBD9957"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pSNW2-KO-oprF</w:t>
            </w:r>
          </w:p>
        </w:tc>
        <w:tc>
          <w:tcPr>
            <w:tcW w:w="4961" w:type="dxa"/>
          </w:tcPr>
          <w:p w14:paraId="40B08ED9"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Deletion vector for </w:t>
            </w:r>
            <w:r w:rsidRPr="008441F8">
              <w:rPr>
                <w:rFonts w:ascii="Calibri" w:hAnsi="Calibri" w:cs="Calibri"/>
                <w:i/>
                <w:sz w:val="18"/>
                <w:szCs w:val="18"/>
                <w:lang w:val="en-US"/>
              </w:rPr>
              <w:t>oprF</w:t>
            </w:r>
            <w:r w:rsidRPr="008441F8">
              <w:rPr>
                <w:rFonts w:ascii="Calibri" w:hAnsi="Calibri" w:cs="Calibri"/>
                <w:sz w:val="18"/>
                <w:szCs w:val="18"/>
                <w:lang w:val="en-US"/>
              </w:rPr>
              <w:t xml:space="preserve"> (PVLB_07655)</w:t>
            </w:r>
          </w:p>
        </w:tc>
        <w:tc>
          <w:tcPr>
            <w:tcW w:w="4678" w:type="dxa"/>
          </w:tcPr>
          <w:p w14:paraId="5064F891" w14:textId="77777777" w:rsidR="00AE654E" w:rsidRPr="008441F8" w:rsidRDefault="00AE654E" w:rsidP="000165F5">
            <w:pPr>
              <w:jc w:val="both"/>
              <w:rPr>
                <w:sz w:val="18"/>
                <w:szCs w:val="18"/>
                <w:lang w:val="en-US"/>
              </w:rPr>
            </w:pPr>
            <w:r w:rsidRPr="008441F8">
              <w:rPr>
                <w:sz w:val="18"/>
                <w:szCs w:val="18"/>
                <w:lang w:val="en-US"/>
              </w:rPr>
              <w:t xml:space="preserve">Cut pSNW2 with EcoRI and XbaI; Fragment </w:t>
            </w:r>
            <w:r w:rsidRPr="008441F8">
              <w:rPr>
                <w:sz w:val="18"/>
                <w:lang w:val="en-US"/>
              </w:rPr>
              <w:t>TS204/TS205 and TS206/TS207 from VLB120 genome</w:t>
            </w:r>
          </w:p>
        </w:tc>
        <w:tc>
          <w:tcPr>
            <w:tcW w:w="1984" w:type="dxa"/>
          </w:tcPr>
          <w:p w14:paraId="4CA0B56E" w14:textId="77777777" w:rsidR="00AE654E" w:rsidRPr="008441F8" w:rsidRDefault="00AE654E" w:rsidP="000165F5">
            <w:pPr>
              <w:jc w:val="both"/>
              <w:rPr>
                <w:sz w:val="18"/>
                <w:szCs w:val="18"/>
                <w:lang w:val="en-US"/>
              </w:rPr>
            </w:pPr>
            <w:r w:rsidRPr="008441F8">
              <w:rPr>
                <w:sz w:val="18"/>
                <w:szCs w:val="18"/>
                <w:lang w:val="en-US"/>
              </w:rPr>
              <w:t>This study</w:t>
            </w:r>
          </w:p>
          <w:p w14:paraId="4C5D263C" w14:textId="77777777" w:rsidR="00AE654E" w:rsidRPr="008441F8" w:rsidRDefault="00AE654E" w:rsidP="000165F5">
            <w:pPr>
              <w:jc w:val="both"/>
              <w:rPr>
                <w:sz w:val="18"/>
                <w:szCs w:val="18"/>
                <w:lang w:val="en-US"/>
              </w:rPr>
            </w:pPr>
            <w:r w:rsidRPr="008441F8">
              <w:rPr>
                <w:sz w:val="18"/>
                <w:szCs w:val="18"/>
                <w:lang w:val="en-US"/>
              </w:rPr>
              <w:t>Plasmid #193</w:t>
            </w:r>
          </w:p>
        </w:tc>
      </w:tr>
      <w:tr w:rsidR="00AE654E" w:rsidRPr="008441F8" w14:paraId="79B97561" w14:textId="77777777" w:rsidTr="005B7F65">
        <w:tc>
          <w:tcPr>
            <w:tcW w:w="2547" w:type="dxa"/>
          </w:tcPr>
          <w:p w14:paraId="455D024F"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pSNW2-KO-PVLB17265 (fabH2)</w:t>
            </w:r>
          </w:p>
        </w:tc>
        <w:tc>
          <w:tcPr>
            <w:tcW w:w="4961" w:type="dxa"/>
          </w:tcPr>
          <w:p w14:paraId="1C2E5F60"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Deletion vector for PVLB_17265 (</w:t>
            </w:r>
            <w:r w:rsidRPr="008441F8">
              <w:rPr>
                <w:rFonts w:ascii="Calibri" w:hAnsi="Calibri" w:cs="Calibri"/>
                <w:i/>
                <w:sz w:val="18"/>
                <w:szCs w:val="18"/>
                <w:lang w:val="en-US"/>
              </w:rPr>
              <w:t>fabH2</w:t>
            </w:r>
            <w:r w:rsidRPr="008441F8">
              <w:rPr>
                <w:rFonts w:ascii="Calibri" w:hAnsi="Calibri" w:cs="Calibri"/>
                <w:sz w:val="18"/>
                <w:szCs w:val="18"/>
                <w:lang w:val="en-US"/>
              </w:rPr>
              <w:t xml:space="preserve">) </w:t>
            </w:r>
          </w:p>
        </w:tc>
        <w:tc>
          <w:tcPr>
            <w:tcW w:w="4678" w:type="dxa"/>
          </w:tcPr>
          <w:p w14:paraId="3A0DB513" w14:textId="77777777" w:rsidR="00AE654E" w:rsidRPr="008441F8" w:rsidRDefault="00AE654E" w:rsidP="000165F5">
            <w:pPr>
              <w:jc w:val="both"/>
              <w:rPr>
                <w:sz w:val="18"/>
                <w:szCs w:val="18"/>
                <w:lang w:val="en-US"/>
              </w:rPr>
            </w:pPr>
            <w:r w:rsidRPr="008441F8">
              <w:rPr>
                <w:sz w:val="18"/>
                <w:szCs w:val="18"/>
                <w:lang w:val="en-US"/>
              </w:rPr>
              <w:t xml:space="preserve">Cut pSNW2 with EcoRI and XbaI; Fragment </w:t>
            </w:r>
            <w:r w:rsidRPr="008441F8">
              <w:rPr>
                <w:sz w:val="18"/>
                <w:lang w:val="en-US"/>
              </w:rPr>
              <w:t>TS232/TS217 and TS218/TS235 from GRC3 genome</w:t>
            </w:r>
          </w:p>
        </w:tc>
        <w:tc>
          <w:tcPr>
            <w:tcW w:w="1984" w:type="dxa"/>
          </w:tcPr>
          <w:p w14:paraId="3AE87384" w14:textId="77777777" w:rsidR="00AE654E" w:rsidRPr="008441F8" w:rsidRDefault="00AE654E" w:rsidP="000165F5">
            <w:pPr>
              <w:jc w:val="both"/>
              <w:rPr>
                <w:sz w:val="18"/>
                <w:szCs w:val="18"/>
                <w:lang w:val="en-US"/>
              </w:rPr>
            </w:pPr>
            <w:r w:rsidRPr="008441F8">
              <w:rPr>
                <w:sz w:val="18"/>
                <w:szCs w:val="18"/>
                <w:lang w:val="en-US"/>
              </w:rPr>
              <w:t>This study</w:t>
            </w:r>
          </w:p>
          <w:p w14:paraId="02A47216" w14:textId="77777777" w:rsidR="00AE654E" w:rsidRPr="008441F8" w:rsidRDefault="00AE654E" w:rsidP="000165F5">
            <w:pPr>
              <w:jc w:val="both"/>
              <w:rPr>
                <w:sz w:val="18"/>
                <w:szCs w:val="18"/>
                <w:lang w:val="en-US"/>
              </w:rPr>
            </w:pPr>
            <w:r w:rsidRPr="008441F8">
              <w:rPr>
                <w:sz w:val="18"/>
                <w:szCs w:val="18"/>
                <w:lang w:val="en-US"/>
              </w:rPr>
              <w:t>Plasmid #196</w:t>
            </w:r>
          </w:p>
        </w:tc>
      </w:tr>
      <w:tr w:rsidR="00AE654E" w:rsidRPr="008441F8" w14:paraId="04BD73CF" w14:textId="77777777" w:rsidTr="005B7F65">
        <w:tc>
          <w:tcPr>
            <w:tcW w:w="2547" w:type="dxa"/>
          </w:tcPr>
          <w:p w14:paraId="5AD8FDB4"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pSNW2-KO_PVLB18090 (fabH)</w:t>
            </w:r>
          </w:p>
        </w:tc>
        <w:tc>
          <w:tcPr>
            <w:tcW w:w="4961" w:type="dxa"/>
          </w:tcPr>
          <w:p w14:paraId="5189CFB6"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Deletion vector for PVLB_18090 (</w:t>
            </w:r>
            <w:r w:rsidRPr="008441F8">
              <w:rPr>
                <w:rFonts w:ascii="Calibri" w:hAnsi="Calibri" w:cs="Calibri"/>
                <w:i/>
                <w:sz w:val="18"/>
                <w:szCs w:val="18"/>
                <w:lang w:val="en-US"/>
              </w:rPr>
              <w:t>fabH</w:t>
            </w:r>
            <w:r w:rsidRPr="008441F8">
              <w:rPr>
                <w:rFonts w:ascii="Calibri" w:hAnsi="Calibri" w:cs="Calibri"/>
                <w:sz w:val="18"/>
                <w:szCs w:val="18"/>
                <w:lang w:val="en-US"/>
              </w:rPr>
              <w:t xml:space="preserve">) </w:t>
            </w:r>
          </w:p>
        </w:tc>
        <w:tc>
          <w:tcPr>
            <w:tcW w:w="4678" w:type="dxa"/>
          </w:tcPr>
          <w:p w14:paraId="2EF2537B" w14:textId="77777777" w:rsidR="00AE654E" w:rsidRPr="008441F8" w:rsidRDefault="00AE654E" w:rsidP="000165F5">
            <w:pPr>
              <w:jc w:val="both"/>
              <w:rPr>
                <w:sz w:val="18"/>
                <w:szCs w:val="18"/>
                <w:lang w:val="en-US"/>
              </w:rPr>
            </w:pPr>
            <w:r w:rsidRPr="008441F8">
              <w:rPr>
                <w:sz w:val="18"/>
                <w:szCs w:val="18"/>
                <w:lang w:val="en-US"/>
              </w:rPr>
              <w:t xml:space="preserve">Cut pSNW2 with EcoRI and XbaI; Fragment </w:t>
            </w:r>
            <w:r w:rsidRPr="008441F8">
              <w:rPr>
                <w:sz w:val="18"/>
                <w:lang w:val="en-US"/>
              </w:rPr>
              <w:t>TS210/TS211 and TS212/TS213 from VLB120 genome</w:t>
            </w:r>
          </w:p>
        </w:tc>
        <w:tc>
          <w:tcPr>
            <w:tcW w:w="1984" w:type="dxa"/>
          </w:tcPr>
          <w:p w14:paraId="217971C6" w14:textId="77777777" w:rsidR="00AE654E" w:rsidRPr="008441F8" w:rsidRDefault="00AE654E" w:rsidP="000165F5">
            <w:pPr>
              <w:jc w:val="both"/>
              <w:rPr>
                <w:sz w:val="18"/>
                <w:szCs w:val="18"/>
                <w:lang w:val="en-US"/>
              </w:rPr>
            </w:pPr>
            <w:r w:rsidRPr="008441F8">
              <w:rPr>
                <w:sz w:val="18"/>
                <w:szCs w:val="18"/>
                <w:lang w:val="en-US"/>
              </w:rPr>
              <w:t>This study</w:t>
            </w:r>
          </w:p>
          <w:p w14:paraId="4B0E7579" w14:textId="77777777" w:rsidR="00AE654E" w:rsidRPr="008441F8" w:rsidRDefault="00AE654E" w:rsidP="000165F5">
            <w:pPr>
              <w:jc w:val="both"/>
              <w:rPr>
                <w:sz w:val="18"/>
                <w:szCs w:val="18"/>
                <w:lang w:val="en-US"/>
              </w:rPr>
            </w:pPr>
            <w:r w:rsidRPr="008441F8">
              <w:rPr>
                <w:sz w:val="18"/>
                <w:szCs w:val="18"/>
                <w:lang w:val="en-US"/>
              </w:rPr>
              <w:t>Plasmid #195</w:t>
            </w:r>
          </w:p>
        </w:tc>
      </w:tr>
      <w:tr w:rsidR="00AE654E" w:rsidRPr="008441F8" w14:paraId="4F4835D6" w14:textId="77777777" w:rsidTr="005B7F65">
        <w:tc>
          <w:tcPr>
            <w:tcW w:w="2547" w:type="dxa"/>
          </w:tcPr>
          <w:p w14:paraId="73107F4C"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pSNW2-attTn7recycling VLB120</w:t>
            </w:r>
          </w:p>
        </w:tc>
        <w:tc>
          <w:tcPr>
            <w:tcW w:w="4961" w:type="dxa"/>
          </w:tcPr>
          <w:p w14:paraId="5AF0822A"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Deletion of marker-free insert at Tn7-site for wt sequence</w:t>
            </w:r>
          </w:p>
        </w:tc>
        <w:tc>
          <w:tcPr>
            <w:tcW w:w="4678" w:type="dxa"/>
          </w:tcPr>
          <w:p w14:paraId="57BE7354" w14:textId="77777777" w:rsidR="00AE654E" w:rsidRPr="008441F8" w:rsidRDefault="00AE654E" w:rsidP="000165F5">
            <w:pPr>
              <w:jc w:val="both"/>
              <w:rPr>
                <w:sz w:val="18"/>
                <w:szCs w:val="18"/>
                <w:lang w:val="en-US"/>
              </w:rPr>
            </w:pPr>
            <w:r w:rsidRPr="008441F8">
              <w:rPr>
                <w:sz w:val="18"/>
                <w:szCs w:val="18"/>
                <w:lang w:val="en-US"/>
              </w:rPr>
              <w:t xml:space="preserve">Cut pSNW2 with EcoRI and XbaI; Fragment </w:t>
            </w:r>
            <w:r w:rsidRPr="008441F8">
              <w:rPr>
                <w:sz w:val="18"/>
                <w:lang w:val="en-US"/>
              </w:rPr>
              <w:t>TS239/TS240 from VLB120 genome</w:t>
            </w:r>
          </w:p>
        </w:tc>
        <w:tc>
          <w:tcPr>
            <w:tcW w:w="1984" w:type="dxa"/>
          </w:tcPr>
          <w:p w14:paraId="405B30D6" w14:textId="77777777" w:rsidR="00AE654E" w:rsidRPr="008441F8" w:rsidRDefault="00AE654E" w:rsidP="000165F5">
            <w:pPr>
              <w:jc w:val="both"/>
              <w:rPr>
                <w:sz w:val="18"/>
                <w:szCs w:val="18"/>
                <w:lang w:val="en-US"/>
              </w:rPr>
            </w:pPr>
            <w:r w:rsidRPr="008441F8">
              <w:rPr>
                <w:sz w:val="18"/>
                <w:szCs w:val="18"/>
                <w:lang w:val="en-US"/>
              </w:rPr>
              <w:t>This study</w:t>
            </w:r>
          </w:p>
          <w:p w14:paraId="056D5AFC" w14:textId="77777777" w:rsidR="00AE654E" w:rsidRPr="008441F8" w:rsidRDefault="00AE654E" w:rsidP="000165F5">
            <w:pPr>
              <w:jc w:val="both"/>
              <w:rPr>
                <w:sz w:val="18"/>
                <w:szCs w:val="18"/>
                <w:lang w:val="en-US"/>
              </w:rPr>
            </w:pPr>
            <w:r w:rsidRPr="008441F8">
              <w:rPr>
                <w:sz w:val="18"/>
                <w:szCs w:val="18"/>
                <w:lang w:val="en-US"/>
              </w:rPr>
              <w:t>Plasmid #228</w:t>
            </w:r>
          </w:p>
        </w:tc>
      </w:tr>
      <w:tr w:rsidR="00AE654E" w:rsidRPr="008441F8" w14:paraId="05AD0891" w14:textId="77777777" w:rsidTr="005B7F65">
        <w:tc>
          <w:tcPr>
            <w:tcW w:w="2547" w:type="dxa"/>
          </w:tcPr>
          <w:p w14:paraId="204626BD"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pSEVA412S-benABCD</w:t>
            </w:r>
          </w:p>
        </w:tc>
        <w:tc>
          <w:tcPr>
            <w:tcW w:w="4961" w:type="dxa"/>
          </w:tcPr>
          <w:p w14:paraId="3E48EBE3"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Deletion vector for PVLB_12215-12230 (</w:t>
            </w:r>
            <w:r w:rsidRPr="008441F8">
              <w:rPr>
                <w:rFonts w:ascii="Calibri" w:hAnsi="Calibri" w:cs="Calibri"/>
                <w:i/>
                <w:sz w:val="18"/>
                <w:szCs w:val="18"/>
                <w:lang w:val="en-US"/>
              </w:rPr>
              <w:t>benABCD</w:t>
            </w:r>
            <w:r w:rsidRPr="008441F8">
              <w:rPr>
                <w:rFonts w:ascii="Calibri" w:hAnsi="Calibri" w:cs="Calibri"/>
                <w:sz w:val="18"/>
                <w:szCs w:val="18"/>
                <w:lang w:val="en-US"/>
              </w:rPr>
              <w:t>)</w:t>
            </w:r>
          </w:p>
        </w:tc>
        <w:tc>
          <w:tcPr>
            <w:tcW w:w="4678" w:type="dxa"/>
          </w:tcPr>
          <w:p w14:paraId="0E8E4B65" w14:textId="77777777" w:rsidR="00AE654E" w:rsidRPr="008441F8" w:rsidRDefault="00AE654E" w:rsidP="000165F5">
            <w:pPr>
              <w:jc w:val="both"/>
              <w:rPr>
                <w:sz w:val="18"/>
                <w:szCs w:val="18"/>
                <w:lang w:val="en-US"/>
              </w:rPr>
            </w:pPr>
          </w:p>
        </w:tc>
        <w:tc>
          <w:tcPr>
            <w:tcW w:w="1984" w:type="dxa"/>
          </w:tcPr>
          <w:p w14:paraId="03EF12B3"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10.1002/biot.202000211","ISSN":"1860-6768","PMID":"32721071","author":[{"dropping-particle":"","family":"Otto","given":"Maike","non-dropping-particle":"","parse-names":false,"suffix":""},{"dropping-particle":"","family":"Wynands","given":"Benedikt","non-dropping-particle":"","parse-names":false,"suffix":""},{"dropping-particle":"","family":"Marienhagen","given":"Jan","non-dropping-particle":"","parse-names":false,"suffix":""},{"dropping-particle":"","family":"Blank","given":"Lars M.","non-dropping-particle":"","parse-names":false,"suffix":""},{"dropping-particle":"","family":"Wierckx","given":"Nick","non-dropping-particle":"","parse-names":false,"suffix":""}],"container-title":"Biotechnology Journal","id":"ITEM-1","issued":{"date-parts":[["2020"]]},"page":"2000211","title":"Benzoate Synthesis from Glucose Or Glycerol Using Engineered &lt;i&gt;Pseudomonas taiwanensis&lt;/i&gt;","type":"article-journal","volume":"2000211"},"uris":["http://www.mendeley.com/documents/?uuid=ecab814c-d8ac-4715-8094-302f571710a3"]}],"mendeley":{"formattedCitation":"(Otto et al., 2020)","manualFormatting":"Otto et al. (2020)","plainTextFormattedCitation":"(Otto et al., 2020)","previouslyFormattedCitation":"(Otto et al., 2020)"},"properties":{"noteIndex":0},"schema":"https://github.com/citation-style-language/schema/raw/master/csl-citation.json"}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Otto et al. (2020)</w:t>
            </w:r>
            <w:r w:rsidRPr="008441F8">
              <w:rPr>
                <w:sz w:val="18"/>
                <w:szCs w:val="18"/>
                <w:lang w:val="en-US"/>
              </w:rPr>
              <w:fldChar w:fldCharType="end"/>
            </w:r>
          </w:p>
        </w:tc>
      </w:tr>
      <w:tr w:rsidR="00AE654E" w:rsidRPr="008441F8" w14:paraId="3509446C" w14:textId="77777777" w:rsidTr="005B7F65">
        <w:tc>
          <w:tcPr>
            <w:tcW w:w="2547" w:type="dxa"/>
          </w:tcPr>
          <w:p w14:paraId="5A2E443E"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pEMG-PVLB_02480/85-</w:t>
            </w:r>
            <w:r w:rsidRPr="008441F8">
              <w:rPr>
                <w:rFonts w:ascii="Calibri" w:hAnsi="Calibri" w:cs="Calibri"/>
                <w:i/>
                <w:sz w:val="18"/>
                <w:szCs w:val="18"/>
                <w:lang w:val="en-US"/>
              </w:rPr>
              <w:t>P</w:t>
            </w:r>
            <w:r w:rsidRPr="008441F8">
              <w:rPr>
                <w:rFonts w:ascii="Calibri" w:hAnsi="Calibri" w:cs="Calibri"/>
                <w:i/>
                <w:sz w:val="18"/>
                <w:szCs w:val="18"/>
                <w:vertAlign w:val="subscript"/>
                <w:lang w:val="en-US"/>
              </w:rPr>
              <w:t>em7</w:t>
            </w:r>
            <w:r w:rsidRPr="008441F8">
              <w:rPr>
                <w:rFonts w:ascii="Calibri" w:hAnsi="Calibri" w:cs="Calibri"/>
                <w:sz w:val="18"/>
                <w:szCs w:val="18"/>
                <w:lang w:val="en-US"/>
              </w:rPr>
              <w:t>-msfgfp</w:t>
            </w:r>
          </w:p>
        </w:tc>
        <w:tc>
          <w:tcPr>
            <w:tcW w:w="4961" w:type="dxa"/>
          </w:tcPr>
          <w:p w14:paraId="3BFCE6C0"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Integration of </w:t>
            </w:r>
            <w:r w:rsidRPr="008441F8">
              <w:rPr>
                <w:rFonts w:ascii="Calibri" w:hAnsi="Calibri" w:cs="Calibri"/>
                <w:i/>
                <w:sz w:val="18"/>
                <w:szCs w:val="18"/>
                <w:lang w:val="en-US"/>
              </w:rPr>
              <w:t>msfgfp</w:t>
            </w:r>
            <w:r w:rsidRPr="008441F8">
              <w:rPr>
                <w:rFonts w:ascii="Calibri" w:hAnsi="Calibri" w:cs="Calibri"/>
                <w:sz w:val="18"/>
                <w:szCs w:val="18"/>
                <w:lang w:val="en-US"/>
              </w:rPr>
              <w:t xml:space="preserve"> at landing pad PVLB_02480/85 with </w:t>
            </w:r>
            <w:r w:rsidRPr="008441F8">
              <w:rPr>
                <w:rFonts w:ascii="Calibri" w:hAnsi="Calibri" w:cs="Calibri"/>
                <w:i/>
                <w:iCs/>
                <w:sz w:val="18"/>
                <w:szCs w:val="18"/>
                <w:lang w:val="en-US"/>
              </w:rPr>
              <w:t>P</w:t>
            </w:r>
            <w:r w:rsidRPr="008441F8">
              <w:rPr>
                <w:rFonts w:ascii="Calibri" w:hAnsi="Calibri" w:cs="Calibri"/>
                <w:i/>
                <w:iCs/>
                <w:sz w:val="18"/>
                <w:szCs w:val="18"/>
                <w:vertAlign w:val="subscript"/>
                <w:lang w:val="en-US"/>
              </w:rPr>
              <w:t>EM7</w:t>
            </w:r>
          </w:p>
        </w:tc>
        <w:tc>
          <w:tcPr>
            <w:tcW w:w="4678" w:type="dxa"/>
          </w:tcPr>
          <w:p w14:paraId="702D20A0" w14:textId="77777777" w:rsidR="00AE654E" w:rsidRPr="008441F8" w:rsidRDefault="00AE654E" w:rsidP="000165F5">
            <w:pPr>
              <w:jc w:val="both"/>
              <w:rPr>
                <w:sz w:val="18"/>
                <w:szCs w:val="18"/>
                <w:lang w:val="en-US"/>
              </w:rPr>
            </w:pPr>
          </w:p>
        </w:tc>
        <w:tc>
          <w:tcPr>
            <w:tcW w:w="1984" w:type="dxa"/>
          </w:tcPr>
          <w:p w14:paraId="0E4981E7" w14:textId="77777777" w:rsidR="00AE654E" w:rsidRPr="00B97427" w:rsidRDefault="00AE654E" w:rsidP="000165F5">
            <w:pPr>
              <w:jc w:val="both"/>
              <w:rPr>
                <w:sz w:val="18"/>
                <w:szCs w:val="18"/>
              </w:rPr>
            </w:pPr>
            <w:r w:rsidRPr="00B97427">
              <w:rPr>
                <w:sz w:val="18"/>
                <w:szCs w:val="18"/>
              </w:rPr>
              <w:t xml:space="preserve">Lechtenberg et al., manuscript in preparation </w:t>
            </w:r>
          </w:p>
        </w:tc>
      </w:tr>
      <w:tr w:rsidR="00AE654E" w:rsidRPr="008441F8" w14:paraId="1C45214E" w14:textId="77777777" w:rsidTr="005B7F65">
        <w:tc>
          <w:tcPr>
            <w:tcW w:w="2547" w:type="dxa"/>
          </w:tcPr>
          <w:p w14:paraId="3F92C457"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pEMG-PVLB_02480/85-</w:t>
            </w:r>
            <w:r w:rsidRPr="008441F8">
              <w:rPr>
                <w:rFonts w:ascii="Calibri" w:hAnsi="Calibri" w:cs="Calibri"/>
                <w:i/>
                <w:sz w:val="18"/>
                <w:szCs w:val="18"/>
                <w:lang w:val="en-US"/>
              </w:rPr>
              <w:t>P</w:t>
            </w:r>
            <w:r w:rsidRPr="008441F8">
              <w:rPr>
                <w:rFonts w:ascii="Calibri" w:hAnsi="Calibri" w:cs="Calibri"/>
                <w:i/>
                <w:sz w:val="18"/>
                <w:szCs w:val="18"/>
                <w:vertAlign w:val="subscript"/>
                <w:lang w:val="en-US"/>
              </w:rPr>
              <w:t>em7</w:t>
            </w:r>
            <w:r w:rsidRPr="008441F8">
              <w:rPr>
                <w:rFonts w:ascii="Calibri" w:hAnsi="Calibri" w:cs="Calibri"/>
                <w:sz w:val="18"/>
                <w:szCs w:val="18"/>
                <w:lang w:val="en-US"/>
              </w:rPr>
              <w:t>-fabF2</w:t>
            </w:r>
          </w:p>
        </w:tc>
        <w:tc>
          <w:tcPr>
            <w:tcW w:w="4961" w:type="dxa"/>
          </w:tcPr>
          <w:p w14:paraId="7C832707"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Integration of </w:t>
            </w:r>
            <w:r w:rsidRPr="008441F8">
              <w:rPr>
                <w:rFonts w:ascii="Calibri" w:hAnsi="Calibri" w:cs="Calibri"/>
                <w:i/>
                <w:sz w:val="18"/>
                <w:szCs w:val="18"/>
                <w:lang w:val="en-US"/>
              </w:rPr>
              <w:t>fabF2</w:t>
            </w:r>
            <w:r w:rsidRPr="008441F8">
              <w:rPr>
                <w:rFonts w:ascii="Calibri" w:hAnsi="Calibri" w:cs="Calibri"/>
                <w:sz w:val="18"/>
                <w:szCs w:val="18"/>
                <w:lang w:val="en-US"/>
              </w:rPr>
              <w:t xml:space="preserve"> (PP_3303) from </w:t>
            </w:r>
            <w:r w:rsidRPr="008441F8">
              <w:rPr>
                <w:rFonts w:ascii="Calibri" w:hAnsi="Calibri" w:cs="Calibri"/>
                <w:i/>
                <w:sz w:val="18"/>
                <w:szCs w:val="18"/>
                <w:lang w:val="en-US"/>
              </w:rPr>
              <w:t>P. putida</w:t>
            </w:r>
            <w:r w:rsidRPr="008441F8">
              <w:rPr>
                <w:rFonts w:ascii="Calibri" w:hAnsi="Calibri" w:cs="Calibri"/>
                <w:sz w:val="18"/>
                <w:szCs w:val="18"/>
                <w:lang w:val="en-US"/>
              </w:rPr>
              <w:t xml:space="preserve"> KT2440 at landing pad PVLB_02480/85 with </w:t>
            </w:r>
            <w:r w:rsidRPr="008441F8">
              <w:rPr>
                <w:rFonts w:ascii="Calibri" w:hAnsi="Calibri" w:cs="Calibri"/>
                <w:i/>
                <w:iCs/>
                <w:sz w:val="18"/>
                <w:szCs w:val="18"/>
                <w:lang w:val="en-US"/>
              </w:rPr>
              <w:t>P</w:t>
            </w:r>
            <w:r w:rsidRPr="008441F8">
              <w:rPr>
                <w:rFonts w:ascii="Calibri" w:hAnsi="Calibri" w:cs="Calibri"/>
                <w:i/>
                <w:iCs/>
                <w:sz w:val="18"/>
                <w:szCs w:val="18"/>
                <w:vertAlign w:val="subscript"/>
                <w:lang w:val="en-US"/>
              </w:rPr>
              <w:t>EM7</w:t>
            </w:r>
          </w:p>
        </w:tc>
        <w:tc>
          <w:tcPr>
            <w:tcW w:w="4678" w:type="dxa"/>
          </w:tcPr>
          <w:p w14:paraId="4E7D2730" w14:textId="77777777" w:rsidR="00AE654E" w:rsidRPr="008441F8" w:rsidRDefault="00AE654E" w:rsidP="000165F5">
            <w:pPr>
              <w:jc w:val="both"/>
              <w:rPr>
                <w:sz w:val="18"/>
                <w:szCs w:val="18"/>
                <w:lang w:val="en-US"/>
              </w:rPr>
            </w:pPr>
            <w:r w:rsidRPr="008441F8">
              <w:rPr>
                <w:sz w:val="18"/>
                <w:szCs w:val="18"/>
                <w:lang w:val="en-US"/>
              </w:rPr>
              <w:t xml:space="preserve">Fragment TS-019/BW463 from plasmid </w:t>
            </w:r>
            <w:r w:rsidRPr="008441F8">
              <w:rPr>
                <w:rFonts w:ascii="Calibri" w:hAnsi="Calibri" w:cs="Calibri"/>
                <w:sz w:val="18"/>
                <w:szCs w:val="18"/>
                <w:lang w:val="en-US"/>
              </w:rPr>
              <w:t>pEMG-PVLB_02480/85-Pem7-msfgfp</w:t>
            </w:r>
            <w:r w:rsidRPr="008441F8">
              <w:rPr>
                <w:sz w:val="18"/>
                <w:szCs w:val="18"/>
                <w:lang w:val="en-US"/>
              </w:rPr>
              <w:t xml:space="preserve"> and TS251/TS252 from </w:t>
            </w:r>
            <w:r w:rsidRPr="008441F8">
              <w:rPr>
                <w:i/>
                <w:sz w:val="18"/>
                <w:szCs w:val="18"/>
                <w:lang w:val="en-US"/>
              </w:rPr>
              <w:t>P. putida</w:t>
            </w:r>
            <w:r w:rsidRPr="008441F8">
              <w:rPr>
                <w:sz w:val="18"/>
                <w:szCs w:val="18"/>
                <w:lang w:val="en-US"/>
              </w:rPr>
              <w:t xml:space="preserve"> KT2440</w:t>
            </w:r>
          </w:p>
        </w:tc>
        <w:tc>
          <w:tcPr>
            <w:tcW w:w="1984" w:type="dxa"/>
          </w:tcPr>
          <w:p w14:paraId="325528CA" w14:textId="77777777" w:rsidR="00AE654E" w:rsidRPr="008441F8" w:rsidRDefault="00AE654E" w:rsidP="000165F5">
            <w:pPr>
              <w:jc w:val="both"/>
              <w:rPr>
                <w:sz w:val="18"/>
                <w:szCs w:val="18"/>
                <w:lang w:val="en-US"/>
              </w:rPr>
            </w:pPr>
            <w:r w:rsidRPr="008441F8">
              <w:rPr>
                <w:sz w:val="18"/>
                <w:szCs w:val="18"/>
                <w:lang w:val="en-US"/>
              </w:rPr>
              <w:t>This study</w:t>
            </w:r>
          </w:p>
          <w:p w14:paraId="080AAABF" w14:textId="77777777" w:rsidR="00AE654E" w:rsidRPr="008441F8" w:rsidRDefault="00AE654E" w:rsidP="000165F5">
            <w:pPr>
              <w:jc w:val="both"/>
              <w:rPr>
                <w:sz w:val="18"/>
                <w:szCs w:val="18"/>
                <w:lang w:val="en-US"/>
              </w:rPr>
            </w:pPr>
            <w:r w:rsidRPr="008441F8">
              <w:rPr>
                <w:sz w:val="18"/>
                <w:szCs w:val="18"/>
                <w:lang w:val="en-US"/>
              </w:rPr>
              <w:t>Plasmid #277</w:t>
            </w:r>
          </w:p>
        </w:tc>
      </w:tr>
      <w:tr w:rsidR="00AE654E" w:rsidRPr="008441F8" w14:paraId="022DB3D1" w14:textId="77777777" w:rsidTr="005B7F65">
        <w:tc>
          <w:tcPr>
            <w:tcW w:w="2547" w:type="dxa"/>
          </w:tcPr>
          <w:p w14:paraId="231B5E7E"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pEMG-PVLB_23545-40-</w:t>
            </w:r>
            <w:r w:rsidRPr="008441F8">
              <w:rPr>
                <w:rFonts w:ascii="Calibri" w:hAnsi="Calibri" w:cs="Calibri"/>
                <w:i/>
                <w:sz w:val="18"/>
                <w:szCs w:val="18"/>
                <w:lang w:val="en-US"/>
              </w:rPr>
              <w:t>P</w:t>
            </w:r>
            <w:r w:rsidRPr="008441F8">
              <w:rPr>
                <w:rFonts w:ascii="Calibri" w:hAnsi="Calibri" w:cs="Calibri"/>
                <w:i/>
                <w:sz w:val="18"/>
                <w:szCs w:val="18"/>
                <w:vertAlign w:val="subscript"/>
                <w:lang w:val="en-US"/>
              </w:rPr>
              <w:t>14f</w:t>
            </w:r>
            <w:r w:rsidRPr="008441F8">
              <w:rPr>
                <w:rFonts w:ascii="Calibri" w:hAnsi="Calibri" w:cs="Calibri"/>
                <w:sz w:val="18"/>
                <w:szCs w:val="18"/>
                <w:lang w:val="en-US"/>
              </w:rPr>
              <w:t>-</w:t>
            </w:r>
            <w:r w:rsidRPr="008441F8">
              <w:rPr>
                <w:lang w:val="en-US"/>
              </w:rPr>
              <w:t xml:space="preserve"> </w:t>
            </w:r>
            <w:r w:rsidRPr="008441F8">
              <w:rPr>
                <w:rFonts w:ascii="Calibri" w:hAnsi="Calibri" w:cs="Calibri"/>
                <w:sz w:val="18"/>
                <w:szCs w:val="18"/>
                <w:lang w:val="en-US"/>
              </w:rPr>
              <w:t>tyrA</w:t>
            </w:r>
            <w:r w:rsidRPr="008441F8">
              <w:rPr>
                <w:rFonts w:ascii="Calibri" w:hAnsi="Calibri" w:cs="Calibri"/>
                <w:sz w:val="18"/>
                <w:szCs w:val="18"/>
                <w:vertAlign w:val="superscript"/>
                <w:lang w:val="en-US"/>
              </w:rPr>
              <w:t>fbr</w:t>
            </w:r>
          </w:p>
        </w:tc>
        <w:tc>
          <w:tcPr>
            <w:tcW w:w="4961" w:type="dxa"/>
          </w:tcPr>
          <w:p w14:paraId="6C04C13E"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Integration at landing pad PVLB_23545/40 (homologue to PP_0340-PP_0341) with </w:t>
            </w:r>
            <w:r w:rsidRPr="008441F8">
              <w:rPr>
                <w:rFonts w:ascii="Calibri" w:hAnsi="Calibri" w:cs="Calibri"/>
                <w:i/>
                <w:iCs/>
                <w:sz w:val="18"/>
                <w:szCs w:val="18"/>
                <w:lang w:val="en-US"/>
              </w:rPr>
              <w:t>P</w:t>
            </w:r>
            <w:r w:rsidRPr="008441F8">
              <w:rPr>
                <w:rFonts w:ascii="Calibri" w:hAnsi="Calibri" w:cs="Calibri"/>
                <w:i/>
                <w:iCs/>
                <w:sz w:val="18"/>
                <w:szCs w:val="18"/>
                <w:vertAlign w:val="subscript"/>
                <w:lang w:val="en-US"/>
              </w:rPr>
              <w:t>14f</w:t>
            </w:r>
          </w:p>
        </w:tc>
        <w:tc>
          <w:tcPr>
            <w:tcW w:w="4678" w:type="dxa"/>
          </w:tcPr>
          <w:p w14:paraId="0D764D94" w14:textId="77777777" w:rsidR="00AE654E" w:rsidRPr="008441F8" w:rsidRDefault="00AE654E" w:rsidP="000165F5">
            <w:pPr>
              <w:jc w:val="both"/>
              <w:rPr>
                <w:sz w:val="18"/>
                <w:szCs w:val="18"/>
                <w:lang w:val="en-US"/>
              </w:rPr>
            </w:pPr>
          </w:p>
        </w:tc>
        <w:tc>
          <w:tcPr>
            <w:tcW w:w="1984" w:type="dxa"/>
          </w:tcPr>
          <w:p w14:paraId="0E8AE988" w14:textId="77777777" w:rsidR="00AE654E" w:rsidRPr="008441F8" w:rsidRDefault="00AE654E" w:rsidP="000165F5">
            <w:pPr>
              <w:jc w:val="both"/>
              <w:rPr>
                <w:sz w:val="18"/>
                <w:szCs w:val="18"/>
                <w:lang w:val="en-US"/>
              </w:rPr>
            </w:pPr>
            <w:r w:rsidRPr="008441F8">
              <w:rPr>
                <w:sz w:val="18"/>
                <w:szCs w:val="18"/>
                <w:lang w:val="en-US"/>
              </w:rPr>
              <w:t>Lechtenberg, Wynands; personal communication</w:t>
            </w:r>
          </w:p>
        </w:tc>
      </w:tr>
      <w:tr w:rsidR="00AE654E" w:rsidRPr="008441F8" w14:paraId="3A21A95A" w14:textId="77777777" w:rsidTr="005B7F65">
        <w:tc>
          <w:tcPr>
            <w:tcW w:w="2547" w:type="dxa"/>
          </w:tcPr>
          <w:p w14:paraId="2E580F40" w14:textId="77777777" w:rsidR="00AE654E" w:rsidRPr="00B97427" w:rsidRDefault="00AE654E" w:rsidP="000165F5">
            <w:pPr>
              <w:jc w:val="both"/>
              <w:rPr>
                <w:rFonts w:ascii="Calibri" w:hAnsi="Calibri" w:cs="Calibri"/>
                <w:sz w:val="18"/>
                <w:szCs w:val="18"/>
              </w:rPr>
            </w:pPr>
            <w:r w:rsidRPr="00B97427">
              <w:rPr>
                <w:rFonts w:ascii="Calibri" w:hAnsi="Calibri" w:cs="Calibri"/>
                <w:sz w:val="18"/>
                <w:szCs w:val="18"/>
              </w:rPr>
              <w:t>pEMG-PVLB_23545-40-P</w:t>
            </w:r>
            <w:r w:rsidRPr="00B97427">
              <w:rPr>
                <w:rFonts w:ascii="Calibri" w:hAnsi="Calibri" w:cs="Calibri"/>
                <w:sz w:val="18"/>
                <w:szCs w:val="18"/>
                <w:vertAlign w:val="subscript"/>
              </w:rPr>
              <w:t>14f</w:t>
            </w:r>
            <w:r w:rsidRPr="00B97427">
              <w:rPr>
                <w:rFonts w:ascii="Calibri" w:hAnsi="Calibri" w:cs="Calibri"/>
                <w:sz w:val="18"/>
                <w:szCs w:val="18"/>
              </w:rPr>
              <w:t>-CgaccBC-accD1</w:t>
            </w:r>
          </w:p>
        </w:tc>
        <w:tc>
          <w:tcPr>
            <w:tcW w:w="4961" w:type="dxa"/>
          </w:tcPr>
          <w:p w14:paraId="034DD82F"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Integration of </w:t>
            </w:r>
            <w:r w:rsidRPr="008441F8">
              <w:rPr>
                <w:rFonts w:ascii="Calibri" w:hAnsi="Calibri" w:cs="Calibri"/>
                <w:i/>
                <w:sz w:val="18"/>
                <w:szCs w:val="18"/>
                <w:lang w:val="en-US"/>
              </w:rPr>
              <w:t>accBC-accD1</w:t>
            </w:r>
            <w:r w:rsidRPr="008441F8">
              <w:rPr>
                <w:rFonts w:ascii="Calibri" w:hAnsi="Calibri" w:cs="Calibri"/>
                <w:sz w:val="18"/>
                <w:szCs w:val="18"/>
                <w:lang w:val="en-US"/>
              </w:rPr>
              <w:t xml:space="preserve"> genes from </w:t>
            </w:r>
            <w:r w:rsidRPr="008441F8">
              <w:rPr>
                <w:rFonts w:ascii="Calibri" w:hAnsi="Calibri" w:cs="Calibri"/>
                <w:i/>
                <w:sz w:val="18"/>
                <w:szCs w:val="18"/>
                <w:lang w:val="en-US"/>
              </w:rPr>
              <w:t>C. glutamicum</w:t>
            </w:r>
            <w:r w:rsidRPr="008441F8">
              <w:rPr>
                <w:rFonts w:ascii="Calibri" w:hAnsi="Calibri" w:cs="Calibri"/>
                <w:sz w:val="18"/>
                <w:szCs w:val="18"/>
                <w:lang w:val="en-US"/>
              </w:rPr>
              <w:t xml:space="preserve"> at landing pad PVLB_23545-23540 with </w:t>
            </w:r>
            <w:r w:rsidRPr="008441F8">
              <w:rPr>
                <w:rFonts w:ascii="Calibri" w:hAnsi="Calibri" w:cs="Calibri"/>
                <w:i/>
                <w:iCs/>
                <w:sz w:val="18"/>
                <w:szCs w:val="18"/>
                <w:lang w:val="en-US"/>
              </w:rPr>
              <w:t>P</w:t>
            </w:r>
            <w:r w:rsidRPr="008441F8">
              <w:rPr>
                <w:rFonts w:ascii="Calibri" w:hAnsi="Calibri" w:cs="Calibri"/>
                <w:i/>
                <w:iCs/>
                <w:sz w:val="18"/>
                <w:szCs w:val="18"/>
                <w:vertAlign w:val="subscript"/>
                <w:lang w:val="en-US"/>
              </w:rPr>
              <w:t>14f</w:t>
            </w:r>
          </w:p>
        </w:tc>
        <w:tc>
          <w:tcPr>
            <w:tcW w:w="4678" w:type="dxa"/>
          </w:tcPr>
          <w:p w14:paraId="5C6B2397" w14:textId="77777777" w:rsidR="00AE654E" w:rsidRPr="008441F8" w:rsidRDefault="00AE654E" w:rsidP="000165F5">
            <w:pPr>
              <w:jc w:val="both"/>
              <w:rPr>
                <w:sz w:val="18"/>
                <w:szCs w:val="18"/>
                <w:lang w:val="en-US"/>
              </w:rPr>
            </w:pPr>
            <w:r w:rsidRPr="008441F8">
              <w:rPr>
                <w:sz w:val="18"/>
                <w:szCs w:val="18"/>
                <w:lang w:val="en-US"/>
              </w:rPr>
              <w:t>Fragment BW-463/TS-019 from pEMG-PVLB_23545-P14f-tyrA(fbr), Fragment TS036/TS250 from pEKEx3_accBC_accD1</w:t>
            </w:r>
          </w:p>
        </w:tc>
        <w:tc>
          <w:tcPr>
            <w:tcW w:w="1984" w:type="dxa"/>
          </w:tcPr>
          <w:p w14:paraId="1541519F" w14:textId="77777777" w:rsidR="00AE654E" w:rsidRPr="008441F8" w:rsidRDefault="00AE654E" w:rsidP="000165F5">
            <w:pPr>
              <w:jc w:val="both"/>
              <w:rPr>
                <w:sz w:val="18"/>
                <w:szCs w:val="18"/>
                <w:lang w:val="en-US"/>
              </w:rPr>
            </w:pPr>
            <w:r w:rsidRPr="008441F8">
              <w:rPr>
                <w:sz w:val="18"/>
                <w:szCs w:val="18"/>
                <w:lang w:val="en-US"/>
              </w:rPr>
              <w:t>This study</w:t>
            </w:r>
          </w:p>
          <w:p w14:paraId="05E4EB40" w14:textId="77777777" w:rsidR="00AE654E" w:rsidRPr="008441F8" w:rsidRDefault="00AE654E" w:rsidP="000165F5">
            <w:pPr>
              <w:jc w:val="both"/>
              <w:rPr>
                <w:sz w:val="18"/>
                <w:szCs w:val="18"/>
                <w:lang w:val="en-US"/>
              </w:rPr>
            </w:pPr>
            <w:r w:rsidRPr="008441F8">
              <w:rPr>
                <w:sz w:val="18"/>
                <w:szCs w:val="18"/>
                <w:lang w:val="en-US"/>
              </w:rPr>
              <w:t>Plasmid #249</w:t>
            </w:r>
          </w:p>
        </w:tc>
      </w:tr>
      <w:tr w:rsidR="00AE654E" w:rsidRPr="008441F8" w14:paraId="139A3F8B" w14:textId="77777777" w:rsidTr="005B7F65">
        <w:tc>
          <w:tcPr>
            <w:tcW w:w="2547" w:type="dxa"/>
          </w:tcPr>
          <w:p w14:paraId="386AB6E4"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pBT’Tmcs</w:t>
            </w:r>
          </w:p>
        </w:tc>
        <w:tc>
          <w:tcPr>
            <w:tcW w:w="4961" w:type="dxa"/>
          </w:tcPr>
          <w:p w14:paraId="70F71075"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Derivative of pBT’mcs, Km</w:t>
            </w:r>
            <w:r w:rsidRPr="008441F8">
              <w:rPr>
                <w:rFonts w:ascii="Calibri" w:hAnsi="Calibri" w:cs="Calibri"/>
                <w:sz w:val="18"/>
                <w:szCs w:val="18"/>
                <w:vertAlign w:val="superscript"/>
                <w:lang w:val="en-US"/>
              </w:rPr>
              <w:t>R</w:t>
            </w:r>
            <w:r w:rsidRPr="008441F8">
              <w:rPr>
                <w:rFonts w:ascii="Calibri" w:hAnsi="Calibri" w:cs="Calibri"/>
                <w:sz w:val="18"/>
                <w:szCs w:val="18"/>
                <w:lang w:val="en-US"/>
              </w:rPr>
              <w:t xml:space="preserve">, Ori/IHF, expression vector, constitutive </w:t>
            </w:r>
            <w:r w:rsidRPr="008441F8">
              <w:rPr>
                <w:rFonts w:ascii="Calibri" w:hAnsi="Calibri" w:cs="Calibri"/>
                <w:i/>
                <w:sz w:val="18"/>
                <w:szCs w:val="18"/>
                <w:lang w:val="en-US"/>
              </w:rPr>
              <w:t>Ptac</w:t>
            </w:r>
            <w:r w:rsidRPr="008441F8">
              <w:rPr>
                <w:rFonts w:ascii="Calibri" w:hAnsi="Calibri" w:cs="Calibri"/>
                <w:sz w:val="18"/>
                <w:szCs w:val="18"/>
                <w:lang w:val="en-US"/>
              </w:rPr>
              <w:t xml:space="preserve"> promoter, with RBS, no terminator</w:t>
            </w:r>
          </w:p>
        </w:tc>
        <w:tc>
          <w:tcPr>
            <w:tcW w:w="4678" w:type="dxa"/>
          </w:tcPr>
          <w:p w14:paraId="513F4B38" w14:textId="77777777" w:rsidR="00AE654E" w:rsidRPr="008441F8" w:rsidRDefault="00AE654E" w:rsidP="000165F5">
            <w:pPr>
              <w:jc w:val="both"/>
              <w:rPr>
                <w:sz w:val="18"/>
                <w:szCs w:val="18"/>
                <w:lang w:val="en-US"/>
              </w:rPr>
            </w:pPr>
          </w:p>
        </w:tc>
        <w:tc>
          <w:tcPr>
            <w:tcW w:w="1984" w:type="dxa"/>
          </w:tcPr>
          <w:p w14:paraId="043580C9"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{"citationItems":[{"id":"ITEM-1","itemData":{"DOI":"10.1073/pnas.0913039107","ISSN":"00278424","abstract":"The toxic fermentation inhibitors in lignocellulosic hydrolysates pose significant problems for the production of second-generation biofuels and biochemicals. Among these inhibitors, 5-(hydroxymethyl) furfural (HMF) and furfural are specifically notorious. In this study, we describe the complete molecular identification and characterization of the pathway by which Cupriavidus basilensis HMF14 metabolizes HMF and furfural. The identification of this pathway enabled the construction of an HMF and furfural-metabolizing Pseudomonas putida. The genetic information obtained furthermore enabled us to predict the HMF and furfural degrading capabilities of sequenced bacterial species that had not previously been connected to furanic aldehyde metabolism. These results pave the way for in situ detoxification of lignocellulosic hydrolysates, which is a major step toward improved efficiency of utilization of lignocellulosic feedstock.","author":[{"dropping-particle":"","family":"Koopman","given":"Frank","non-dropping-particle":"","parse-names":false,"suffix":""},{"dropping-particle":"","family":"Wierckx","given":"Nick","non-dropping-particle":"","parse-names":false,"suffix":""},{"dropping-particle":"","family":"Winde","given":"Johannes H.","non-dropping-particle":"De","parse-names":false,"suffix":""},{"dropping-particle":"","family":"Ruijssenaars","given":"Harald J.","non-dropping-particle":"","parse-names":false,"suffix":""}],"container-title":"Proceedings of the National Academy of Sciences of the United States of America","id":"ITEM-1","issue":"11","issued":{"date-parts":[["2010"]]},"page":"4919-4924","title":"Identification and characterization of the furfural and 5-(hydroxymethyl)furfural degradation pathways of &lt;i&gt;Cupriavidus basilensis&lt;/i&gt; HMF14","type":"article-journal","volume":"107"},"uris":["http://www.mendeley.com/documents/?uuid=17634e19-f2c4-47d6-b412-4c203001fc71"]}],"mendeley":{"formattedCitation":"(Koopman et al., 2010)","manualFormatting":"Koopman et al. (2010)","plainTextFormattedCitation":"(Koopman et al., 2010)","previouslyFormattedCitation":"(Koopman et al., 2010)"},"properties":{"noteIndex":0},"schema":"https://github.com/citation-style-language/schema/raw/master/csl-citation.json"}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Koopman et al. (2010)</w:t>
            </w:r>
            <w:r w:rsidRPr="008441F8">
              <w:rPr>
                <w:sz w:val="18"/>
                <w:szCs w:val="18"/>
                <w:lang w:val="en-US"/>
              </w:rPr>
              <w:fldChar w:fldCharType="end"/>
            </w:r>
          </w:p>
        </w:tc>
      </w:tr>
      <w:tr w:rsidR="00AE654E" w:rsidRPr="008441F8" w14:paraId="1C117967" w14:textId="77777777" w:rsidTr="005B7F65">
        <w:tc>
          <w:tcPr>
            <w:tcW w:w="2547" w:type="dxa"/>
          </w:tcPr>
          <w:p w14:paraId="1F846488" w14:textId="77777777" w:rsidR="00AE654E" w:rsidRPr="008441F8" w:rsidRDefault="00AE654E" w:rsidP="000165F5">
            <w:pPr>
              <w:jc w:val="both"/>
              <w:rPr>
                <w:sz w:val="18"/>
                <w:szCs w:val="18"/>
                <w:lang w:val="en-US"/>
              </w:rPr>
            </w:pPr>
            <w:r w:rsidRPr="008441F8">
              <w:rPr>
                <w:sz w:val="18"/>
                <w:szCs w:val="18"/>
                <w:lang w:val="en-US"/>
              </w:rPr>
              <w:t>pBNTmcs(t)</w:t>
            </w:r>
          </w:p>
        </w:tc>
        <w:tc>
          <w:tcPr>
            <w:tcW w:w="4961" w:type="dxa"/>
          </w:tcPr>
          <w:p w14:paraId="35116F40" w14:textId="77777777" w:rsidR="00AE654E" w:rsidRPr="008441F8" w:rsidRDefault="00AE654E" w:rsidP="000165F5">
            <w:pPr>
              <w:jc w:val="both"/>
              <w:rPr>
                <w:sz w:val="18"/>
                <w:szCs w:val="18"/>
                <w:lang w:val="en-US"/>
              </w:rPr>
            </w:pPr>
            <w:r w:rsidRPr="008441F8">
              <w:rPr>
                <w:rFonts w:ascii="Calibri" w:hAnsi="Calibri" w:cs="Calibri"/>
                <w:sz w:val="18"/>
                <w:szCs w:val="18"/>
                <w:lang w:val="en-US"/>
              </w:rPr>
              <w:t>Km</w:t>
            </w:r>
            <w:r w:rsidRPr="008441F8">
              <w:rPr>
                <w:rFonts w:ascii="Calibri" w:hAnsi="Calibri" w:cs="Calibri"/>
                <w:sz w:val="18"/>
                <w:szCs w:val="18"/>
                <w:vertAlign w:val="superscript"/>
                <w:lang w:val="en-US"/>
              </w:rPr>
              <w:t>R</w:t>
            </w:r>
            <w:r w:rsidRPr="008441F8">
              <w:rPr>
                <w:rFonts w:ascii="Calibri" w:hAnsi="Calibri" w:cs="Calibri"/>
                <w:sz w:val="18"/>
                <w:szCs w:val="18"/>
                <w:lang w:val="en-US"/>
              </w:rPr>
              <w:t xml:space="preserve">, oriV(pBBR1) expression vector containing the salicylate-inducible </w:t>
            </w:r>
            <w:r w:rsidRPr="008441F8">
              <w:rPr>
                <w:rFonts w:ascii="Calibri" w:hAnsi="Calibri" w:cs="Calibri"/>
                <w:i/>
                <w:sz w:val="18"/>
                <w:szCs w:val="18"/>
                <w:lang w:val="en-US"/>
              </w:rPr>
              <w:t>nagR/pNagAa</w:t>
            </w:r>
            <w:r w:rsidRPr="008441F8">
              <w:rPr>
                <w:rFonts w:ascii="Calibri" w:hAnsi="Calibri" w:cs="Calibri"/>
                <w:sz w:val="18"/>
                <w:szCs w:val="18"/>
                <w:lang w:val="en-US"/>
              </w:rPr>
              <w:t xml:space="preserve"> promotor</w:t>
            </w:r>
          </w:p>
        </w:tc>
        <w:tc>
          <w:tcPr>
            <w:tcW w:w="4678" w:type="dxa"/>
          </w:tcPr>
          <w:p w14:paraId="78E5CCC7" w14:textId="77777777" w:rsidR="00AE654E" w:rsidRPr="008441F8" w:rsidRDefault="00AE654E" w:rsidP="000165F5">
            <w:pPr>
              <w:jc w:val="both"/>
              <w:rPr>
                <w:sz w:val="18"/>
                <w:szCs w:val="18"/>
                <w:lang w:val="en-US"/>
              </w:rPr>
            </w:pPr>
          </w:p>
        </w:tc>
        <w:tc>
          <w:tcPr>
            <w:tcW w:w="1984" w:type="dxa"/>
          </w:tcPr>
          <w:p w14:paraId="22EDE907"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{"citationItems":[{"id":"ITEM-1","itemData":{"DOI":"10.1007/s00253-010-2626-z","ISSN":"01757598","abstract":"A transcriptomics and proteomics approach was employed to study the expression changes associated with p-hydroxybenzoate production by the engineered Pseudomonas putida strain S12palB1. To establish p-hydroxyben-zoate production, phenylalanine-tyrosine ammonia lyase (pal/tal) was introduced to connect the tyrosine biosynthetic and p-coumarate degradation pathways. In agreement with the efficient p-hydroxybenzoate production, the tyrosine biosynthetic and p-coumarate catabolic pathways were upregulated. Also many transporters were differentially expressed, one of which - a previously uncharacterized multidrug efflux transporter with locus tags PP1271-PP1273 - was found to be associated with p-hydroxyben-zoate export. In addition to tyrosine biosynthesis, also tyrosine degradative pathways were upregulated. Eliminating the most prominent of these resulted in a 22% p-hydroxy-benzoate yield improvement. Remarkably, the upregulation of genes contributing to p-hydroxybenzoate formation was much higher in glucose than in glycerol-cultured cells. © The Author(s) 2010.","author":[{"dropping-particle":"","family":"Verhoef","given":"Suzanne","non-dropping-particle":"","parse-names":false,"suffix":""},{"dropping-particle":"","family":"Ballerstedt","given":"Hendrik","non-dropping-particle":"","parse-names":false,"suffix":""},{"dropping-particle":"","family":"Volkers","given":"Rita J.M.","non-dropping-particle":"","parse-names":false,"suffix":""},{"dropping-particle":"","family":"Winde","given":"Johannes H.","non-dropping-particle":"De","parse-names":false,"suffix":""},{"dropping-particle":"","family":"Ruijssenaars","given":"Harald J.","non-dropping-particle":"","parse-names":false,"suffix":""}],"container-title":"Applied Microbiology and Biotechnology","id":"ITEM-1","issue":"2","issued":{"date-parts":[["2010"]]},"page":"679-690","title":"Comparative transcriptomics and proteomics of &lt;i&gt;p&lt;/i&gt;-hydroxybenzoate producing &lt;i&gt;Pseudomonas putida&lt;/i&gt; S12: Novel responses and implications for strain improvement","type":"article-journal","volume":"87"},"uris":["http://www.mendeley.com/documents/?uuid=628e239c-1ddc-4aab-9bf8-525ccd1cec0a"]}],"mendeley":{"formattedCitation":"(Verhoef et al., 2010)","manualFormatting":"Verhoef et al. (2010)","plainTextFormattedCitation":"(Verhoef et al., 2010)","previouslyFormattedCitation":"(Verhoef et al., 2010)"},"properties":{"noteIndex":0},"schema":"https://github.com/citation-style-language/schema/raw/master/csl-citation.json"}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Verhoef et al. (2010)</w:t>
            </w:r>
            <w:r w:rsidRPr="008441F8">
              <w:rPr>
                <w:sz w:val="18"/>
                <w:szCs w:val="18"/>
                <w:lang w:val="en-US"/>
              </w:rPr>
              <w:fldChar w:fldCharType="end"/>
            </w:r>
          </w:p>
        </w:tc>
      </w:tr>
      <w:tr w:rsidR="00AE654E" w:rsidRPr="008441F8" w14:paraId="7AB33D42" w14:textId="77777777" w:rsidTr="005B7F65">
        <w:tc>
          <w:tcPr>
            <w:tcW w:w="2547" w:type="dxa"/>
          </w:tcPr>
          <w:p w14:paraId="656B1F4F" w14:textId="77777777" w:rsidR="00AE654E" w:rsidRPr="008441F8" w:rsidRDefault="00AE654E" w:rsidP="000165F5">
            <w:pPr>
              <w:jc w:val="both"/>
              <w:rPr>
                <w:sz w:val="18"/>
                <w:szCs w:val="18"/>
                <w:lang w:val="en-US"/>
              </w:rPr>
            </w:pPr>
            <w:r w:rsidRPr="008441F8">
              <w:rPr>
                <w:sz w:val="18"/>
                <w:szCs w:val="18"/>
                <w:lang w:val="en-US"/>
              </w:rPr>
              <w:t>pEKEx3_accBC_accD1</w:t>
            </w:r>
          </w:p>
        </w:tc>
        <w:tc>
          <w:tcPr>
            <w:tcW w:w="4961" w:type="dxa"/>
          </w:tcPr>
          <w:p w14:paraId="599D110F"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spec</w:t>
            </w:r>
            <w:r w:rsidRPr="008441F8">
              <w:rPr>
                <w:rFonts w:ascii="Calibri" w:hAnsi="Calibri" w:cs="Calibri"/>
                <w:sz w:val="18"/>
                <w:szCs w:val="18"/>
                <w:vertAlign w:val="superscript"/>
                <w:lang w:val="en-US"/>
              </w:rPr>
              <w:t>R</w:t>
            </w:r>
            <w:r w:rsidRPr="008441F8">
              <w:rPr>
                <w:rFonts w:ascii="Calibri" w:hAnsi="Calibri" w:cs="Calibri"/>
                <w:sz w:val="18"/>
                <w:szCs w:val="18"/>
                <w:lang w:val="en-US"/>
              </w:rPr>
              <w:t xml:space="preserve">; pEKEx3 derivative containing </w:t>
            </w:r>
            <w:r w:rsidRPr="008441F8">
              <w:rPr>
                <w:rFonts w:ascii="Calibri" w:hAnsi="Calibri" w:cs="Calibri"/>
                <w:i/>
                <w:sz w:val="18"/>
                <w:szCs w:val="18"/>
                <w:lang w:val="en-US"/>
              </w:rPr>
              <w:t>accBC</w:t>
            </w:r>
            <w:r w:rsidRPr="008441F8">
              <w:rPr>
                <w:rFonts w:ascii="Calibri" w:hAnsi="Calibri" w:cs="Calibri"/>
                <w:sz w:val="18"/>
                <w:szCs w:val="18"/>
                <w:lang w:val="en-US"/>
              </w:rPr>
              <w:t xml:space="preserve"> and </w:t>
            </w:r>
            <w:r w:rsidRPr="008441F8">
              <w:rPr>
                <w:rFonts w:ascii="Calibri" w:hAnsi="Calibri" w:cs="Calibri"/>
                <w:i/>
                <w:sz w:val="18"/>
                <w:szCs w:val="18"/>
                <w:lang w:val="en-US"/>
              </w:rPr>
              <w:t>accD1</w:t>
            </w:r>
            <w:r w:rsidRPr="008441F8">
              <w:rPr>
                <w:rFonts w:ascii="Calibri" w:hAnsi="Calibri" w:cs="Calibri"/>
                <w:sz w:val="18"/>
                <w:szCs w:val="18"/>
                <w:lang w:val="en-US"/>
              </w:rPr>
              <w:t xml:space="preserve"> genes from </w:t>
            </w:r>
            <w:r w:rsidRPr="008441F8">
              <w:rPr>
                <w:rFonts w:ascii="Calibri" w:hAnsi="Calibri" w:cs="Calibri"/>
                <w:i/>
                <w:sz w:val="18"/>
                <w:szCs w:val="18"/>
                <w:lang w:val="en-US"/>
              </w:rPr>
              <w:t>C. glutamicum</w:t>
            </w:r>
          </w:p>
        </w:tc>
        <w:tc>
          <w:tcPr>
            <w:tcW w:w="4678" w:type="dxa"/>
          </w:tcPr>
          <w:p w14:paraId="79A453D9" w14:textId="77777777" w:rsidR="00AE654E" w:rsidRPr="008441F8" w:rsidRDefault="00AE654E" w:rsidP="000165F5">
            <w:pPr>
              <w:jc w:val="both"/>
              <w:rPr>
                <w:sz w:val="18"/>
                <w:szCs w:val="18"/>
                <w:lang w:val="en-US"/>
              </w:rPr>
            </w:pPr>
          </w:p>
        </w:tc>
        <w:tc>
          <w:tcPr>
            <w:tcW w:w="1984" w:type="dxa"/>
          </w:tcPr>
          <w:p w14:paraId="30319F26"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{"citationItems":[{"id":"ITEM-1","itemData":{"DOI":"10.1002/bit.26939","ISSN":"10970290","abstract":"In recent years microorganisms have been engineered towards synthesizing interesting plant polyphenols such as flavonoids and stilbenes from glucose. Currently, the low endogenous supply of malonyl-CoA, indispensable for plant polyphenol synthesis, impedes high product titers. Usually, limited malonyl-CoA availability during plant polyphenol production is avoided by supplementing fatty acid synthesis-inhibiting antibiotics such as cerulenin, which are known to increase the intracellular malonyl-CoA pool as a side effect. Motivated by the goal of microbial polyphenol synthesis being independent of such expensive additives, we used rational metabolic engineering approaches to modulate regulation of fatty acid synthesis and flux into the tricarboxylic acid cycle (TCA cycle) in Corynebacterium glutamicum strains capable of flavonoid and stilbene synthesis. Initial experiments showed that sole overexpression of genes coding for the native malonyl-CoA-forming acetyl-CoA carboxylase is not sufficient for increasing polyphenol production in C. glutamicum. Hence, the intracellular acetyl-CoA availability was also increased by reducing the flux into the TCA cycle through reduction of citrate synthase activity. In defined cultivation medium, the constructed C. glutamicum strains accumulated 24 mg·L −1 (0.088 mM) naringenin or 112 mg·L −1 (0.49 mM) resveratrol from glucose without supplementation of phenylpropanoid precursor molecules or any inhibitors of fatty acid synthesis.","author":[{"dropping-particle":"","family":"Milke","given":"Lars","non-dropping-particle":"","parse-names":false,"suffix":""},{"dropping-particle":"","family":"Ferreira","given":"Patrícia","non-dropping-particle":"","parse-names":false,"suffix":""},{"dropping-particle":"","family":"Kallscheuer","given":"Nicolai","non-dropping-particle":"","parse-names":false,"suffix":""},{"dropping-particle":"","family":"Braga","given":"Adelaide","non-dropping-particle":"","parse-names":false,"suffix":""},{"dropping-particle":"","family":"Vogt","given":"Michael","non-dropping-particle":"","parse-names":false,"suffix":""},{"dropping-particle":"","family":"Kappelmann","given":"Jannick","non-dropping-particle":"","parse-names":false,"suffix":""},{"dropping-particle":"","family":"Oliveira","given":"Joana","non-dropping-particle":"","parse-names":false,"suffix":""},{"dropping-particle":"","family":"Silva","given":"Ana Rita","non-dropping-particle":"","parse-names":false,"suffix":""},{"dropping-particle":"","family":"Rocha","given":"Isabel","non-dropping-particle":"","parse-names":false,"suffix":""},{"dropping-particle":"","family":"Bott","given":"Michael","non-dropping-particle":"","parse-names":false,"suffix":""},{"dropping-particle":"","family":"Noack","given":"Stephan","non-dropping-particle":"","parse-names":false,"suffix":""},{"dropping-particle":"","family":"Faria","given":"Nuno","non-dropping-particle":"","parse-names":false,"suffix":""},{"dropping-particle":"","family":"Marienhagen","given":"Jan","non-dropping-particle":"","parse-names":false,"suffix":""}],"container-title":"Biotechnology and Bioengineering","id":"ITEM-1","issue":"6","issued":{"date-parts":[["2019"]]},"page":"1380-1391","title":"Modulation of the central carbon metabolism of &lt;i&gt;Corynebacterium glutamicum&lt;/i&gt; improves malonyl-CoA availability and increases plant polyphenol synthesis","type":"article-journal","volume":"116"},"uris":["http://www.mendeley.com/documents/?uuid=3f6f1c2b-d76b-40ca-9f43-c854e7a6706e"]}],"mendeley":{"formattedCitation":"(Milke et al., 2019)","manualFormatting":"Milke et al. (2019)","plainTextFormattedCitation":"(Milke et al., 2019)","previouslyFormattedCitation":"(Milke et al., 2019)"},"properties":{"noteIndex":0},"schema":"https://github.com/citation-style-language/schema/raw/master/csl-citation.json"}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Milke et al. (2019)</w:t>
            </w:r>
            <w:r w:rsidRPr="008441F8">
              <w:rPr>
                <w:sz w:val="18"/>
                <w:szCs w:val="18"/>
                <w:lang w:val="en-US"/>
              </w:rPr>
              <w:fldChar w:fldCharType="end"/>
            </w:r>
          </w:p>
        </w:tc>
      </w:tr>
      <w:tr w:rsidR="00AE654E" w:rsidRPr="008441F8" w14:paraId="31685144" w14:textId="77777777" w:rsidTr="005B7F65">
        <w:tc>
          <w:tcPr>
            <w:tcW w:w="2547" w:type="dxa"/>
          </w:tcPr>
          <w:p w14:paraId="4941FF9E" w14:textId="77777777" w:rsidR="00AE654E" w:rsidRPr="008441F8" w:rsidRDefault="00AE654E" w:rsidP="000165F5">
            <w:pPr>
              <w:jc w:val="both"/>
              <w:rPr>
                <w:sz w:val="18"/>
                <w:szCs w:val="18"/>
                <w:lang w:val="en-US"/>
              </w:rPr>
            </w:pPr>
            <w:r w:rsidRPr="008441F8">
              <w:rPr>
                <w:sz w:val="18"/>
                <w:szCs w:val="18"/>
                <w:lang w:val="en-US"/>
              </w:rPr>
              <w:t>pBT'T-CgaccBC-accD1</w:t>
            </w:r>
          </w:p>
        </w:tc>
        <w:tc>
          <w:tcPr>
            <w:tcW w:w="4961" w:type="dxa"/>
          </w:tcPr>
          <w:p w14:paraId="03F826F2"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Expression vector for </w:t>
            </w:r>
            <w:r w:rsidRPr="008441F8">
              <w:rPr>
                <w:rFonts w:ascii="Calibri" w:hAnsi="Calibri" w:cs="Calibri"/>
                <w:i/>
                <w:sz w:val="18"/>
                <w:szCs w:val="18"/>
                <w:lang w:val="en-US"/>
              </w:rPr>
              <w:t>accBC-D1</w:t>
            </w:r>
            <w:r w:rsidRPr="008441F8">
              <w:rPr>
                <w:rFonts w:ascii="Calibri" w:hAnsi="Calibri" w:cs="Calibri"/>
                <w:sz w:val="18"/>
                <w:szCs w:val="18"/>
                <w:lang w:val="en-US"/>
              </w:rPr>
              <w:t xml:space="preserve"> from </w:t>
            </w:r>
            <w:r w:rsidRPr="008441F8">
              <w:rPr>
                <w:rFonts w:ascii="Calibri" w:hAnsi="Calibri" w:cs="Calibri"/>
                <w:i/>
                <w:sz w:val="18"/>
                <w:szCs w:val="18"/>
                <w:lang w:val="en-US"/>
              </w:rPr>
              <w:t>C. glutamicum</w:t>
            </w:r>
          </w:p>
        </w:tc>
        <w:tc>
          <w:tcPr>
            <w:tcW w:w="4678" w:type="dxa"/>
          </w:tcPr>
          <w:p w14:paraId="61FABD85" w14:textId="77777777" w:rsidR="00AE654E" w:rsidRPr="008441F8" w:rsidRDefault="00AE654E" w:rsidP="000165F5">
            <w:pPr>
              <w:jc w:val="both"/>
              <w:rPr>
                <w:sz w:val="18"/>
                <w:szCs w:val="18"/>
                <w:lang w:val="en-US"/>
              </w:rPr>
            </w:pPr>
            <w:r w:rsidRPr="008441F8">
              <w:rPr>
                <w:sz w:val="18"/>
                <w:szCs w:val="18"/>
                <w:lang w:val="en-US"/>
              </w:rPr>
              <w:t>Cut pBT’Tmcs’ with EcoRI, Fragment TS034/TS035 from pEKEx3_accBC_accD1</w:t>
            </w:r>
          </w:p>
        </w:tc>
        <w:tc>
          <w:tcPr>
            <w:tcW w:w="1984" w:type="dxa"/>
          </w:tcPr>
          <w:p w14:paraId="6B458C94" w14:textId="77777777" w:rsidR="00AE654E" w:rsidRPr="008441F8" w:rsidRDefault="00AE654E" w:rsidP="000165F5">
            <w:pPr>
              <w:jc w:val="both"/>
              <w:rPr>
                <w:sz w:val="18"/>
                <w:szCs w:val="18"/>
                <w:lang w:val="en-US"/>
              </w:rPr>
            </w:pPr>
            <w:r w:rsidRPr="008441F8">
              <w:rPr>
                <w:sz w:val="18"/>
                <w:szCs w:val="18"/>
                <w:lang w:val="en-US"/>
              </w:rPr>
              <w:t>This study</w:t>
            </w:r>
          </w:p>
          <w:p w14:paraId="662EEDDE" w14:textId="77777777" w:rsidR="00AE654E" w:rsidRPr="008441F8" w:rsidRDefault="00AE654E" w:rsidP="000165F5">
            <w:pPr>
              <w:jc w:val="both"/>
              <w:rPr>
                <w:sz w:val="18"/>
                <w:szCs w:val="18"/>
                <w:lang w:val="en-US"/>
              </w:rPr>
            </w:pPr>
            <w:r w:rsidRPr="008441F8">
              <w:rPr>
                <w:sz w:val="18"/>
                <w:szCs w:val="18"/>
                <w:lang w:val="en-US"/>
              </w:rPr>
              <w:t>Plasmid #78</w:t>
            </w:r>
          </w:p>
        </w:tc>
      </w:tr>
      <w:tr w:rsidR="00AE654E" w:rsidRPr="008441F8" w14:paraId="7FE93895" w14:textId="77777777" w:rsidTr="005B7F65">
        <w:tc>
          <w:tcPr>
            <w:tcW w:w="2547" w:type="dxa"/>
          </w:tcPr>
          <w:p w14:paraId="0A025B99" w14:textId="77777777" w:rsidR="00AE654E" w:rsidRPr="008441F8" w:rsidRDefault="00AE654E" w:rsidP="000165F5">
            <w:pPr>
              <w:jc w:val="both"/>
              <w:rPr>
                <w:sz w:val="18"/>
                <w:szCs w:val="18"/>
                <w:lang w:val="en-US"/>
              </w:rPr>
            </w:pPr>
            <w:r w:rsidRPr="008441F8">
              <w:rPr>
                <w:sz w:val="18"/>
                <w:szCs w:val="18"/>
                <w:lang w:val="en-US"/>
              </w:rPr>
              <w:t xml:space="preserve">pBNT-FabD </w:t>
            </w:r>
          </w:p>
        </w:tc>
        <w:tc>
          <w:tcPr>
            <w:tcW w:w="4961" w:type="dxa"/>
          </w:tcPr>
          <w:p w14:paraId="1780B169"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Salicylate inducible expression vector for </w:t>
            </w:r>
            <w:r w:rsidRPr="008441F8">
              <w:rPr>
                <w:rFonts w:ascii="Calibri" w:hAnsi="Calibri" w:cs="Calibri"/>
                <w:i/>
                <w:sz w:val="18"/>
                <w:szCs w:val="18"/>
                <w:lang w:val="en-US"/>
              </w:rPr>
              <w:t>fabD</w:t>
            </w:r>
            <w:r w:rsidRPr="008441F8">
              <w:rPr>
                <w:rFonts w:ascii="Calibri" w:hAnsi="Calibri" w:cs="Calibri"/>
                <w:sz w:val="18"/>
                <w:szCs w:val="18"/>
                <w:lang w:val="en-US"/>
              </w:rPr>
              <w:t xml:space="preserve"> (PVLB_07170)</w:t>
            </w:r>
          </w:p>
        </w:tc>
        <w:tc>
          <w:tcPr>
            <w:tcW w:w="4678" w:type="dxa"/>
          </w:tcPr>
          <w:p w14:paraId="3F22BECB" w14:textId="77777777" w:rsidR="00AE654E" w:rsidRPr="008441F8" w:rsidRDefault="00AE654E" w:rsidP="000165F5">
            <w:pPr>
              <w:jc w:val="both"/>
              <w:rPr>
                <w:sz w:val="18"/>
                <w:szCs w:val="18"/>
                <w:lang w:val="en-US"/>
              </w:rPr>
            </w:pPr>
            <w:r w:rsidRPr="008441F8">
              <w:rPr>
                <w:sz w:val="18"/>
                <w:szCs w:val="18"/>
                <w:lang w:val="en-US"/>
              </w:rPr>
              <w:t>Cut pBNT’Tmcs’ with EcoRI, Fragment TS224/TS225 from VLB120 genome</w:t>
            </w:r>
          </w:p>
        </w:tc>
        <w:tc>
          <w:tcPr>
            <w:tcW w:w="1984" w:type="dxa"/>
          </w:tcPr>
          <w:p w14:paraId="32FE4DAF" w14:textId="77777777" w:rsidR="00AE654E" w:rsidRPr="008441F8" w:rsidRDefault="00AE654E" w:rsidP="000165F5">
            <w:pPr>
              <w:jc w:val="both"/>
              <w:rPr>
                <w:sz w:val="18"/>
                <w:szCs w:val="18"/>
                <w:lang w:val="en-US"/>
              </w:rPr>
            </w:pPr>
            <w:r w:rsidRPr="008441F8">
              <w:rPr>
                <w:sz w:val="18"/>
                <w:szCs w:val="18"/>
                <w:lang w:val="en-US"/>
              </w:rPr>
              <w:t>This study</w:t>
            </w:r>
          </w:p>
          <w:p w14:paraId="60F7078B" w14:textId="77777777" w:rsidR="00AE654E" w:rsidRPr="008441F8" w:rsidRDefault="00AE654E" w:rsidP="000165F5">
            <w:pPr>
              <w:jc w:val="both"/>
              <w:rPr>
                <w:sz w:val="18"/>
                <w:szCs w:val="18"/>
                <w:lang w:val="en-US"/>
              </w:rPr>
            </w:pPr>
            <w:r w:rsidRPr="008441F8">
              <w:rPr>
                <w:sz w:val="18"/>
                <w:szCs w:val="18"/>
                <w:lang w:val="en-US"/>
              </w:rPr>
              <w:t>Plasmid #203</w:t>
            </w:r>
          </w:p>
        </w:tc>
      </w:tr>
      <w:tr w:rsidR="00AE654E" w:rsidRPr="008441F8" w14:paraId="2B0E001A" w14:textId="77777777" w:rsidTr="005B7F65">
        <w:tc>
          <w:tcPr>
            <w:tcW w:w="2547" w:type="dxa"/>
          </w:tcPr>
          <w:p w14:paraId="312CAB35" w14:textId="77777777" w:rsidR="00AE654E" w:rsidRPr="008441F8" w:rsidRDefault="00AE654E" w:rsidP="000165F5">
            <w:pPr>
              <w:jc w:val="both"/>
              <w:rPr>
                <w:sz w:val="18"/>
                <w:szCs w:val="18"/>
                <w:lang w:val="en-US"/>
              </w:rPr>
            </w:pPr>
            <w:r w:rsidRPr="008441F8">
              <w:rPr>
                <w:sz w:val="18"/>
                <w:szCs w:val="18"/>
                <w:lang w:val="en-US"/>
              </w:rPr>
              <w:t>pBNT-FabD W258Q</w:t>
            </w:r>
          </w:p>
        </w:tc>
        <w:tc>
          <w:tcPr>
            <w:tcW w:w="4961" w:type="dxa"/>
          </w:tcPr>
          <w:p w14:paraId="19B0EC7E"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Salicylate inducible expression vector for </w:t>
            </w:r>
            <w:r w:rsidRPr="008441F8">
              <w:rPr>
                <w:rFonts w:ascii="Calibri" w:hAnsi="Calibri" w:cs="Calibri"/>
                <w:i/>
                <w:sz w:val="18"/>
                <w:szCs w:val="18"/>
                <w:lang w:val="en-US"/>
              </w:rPr>
              <w:t>fabD</w:t>
            </w:r>
            <w:r w:rsidRPr="008441F8">
              <w:rPr>
                <w:rFonts w:ascii="Calibri" w:hAnsi="Calibri" w:cs="Calibri"/>
                <w:i/>
                <w:sz w:val="18"/>
                <w:szCs w:val="18"/>
                <w:vertAlign w:val="superscript"/>
                <w:lang w:val="en-US"/>
              </w:rPr>
              <w:t>W258Q</w:t>
            </w:r>
            <w:r w:rsidRPr="008441F8">
              <w:rPr>
                <w:rFonts w:ascii="Calibri" w:hAnsi="Calibri" w:cs="Calibri"/>
                <w:sz w:val="18"/>
                <w:szCs w:val="18"/>
                <w:lang w:val="en-US"/>
              </w:rPr>
              <w:t xml:space="preserve"> (PVLB_07170)</w:t>
            </w:r>
          </w:p>
        </w:tc>
        <w:tc>
          <w:tcPr>
            <w:tcW w:w="4678" w:type="dxa"/>
          </w:tcPr>
          <w:p w14:paraId="336D6841" w14:textId="77777777" w:rsidR="00AE654E" w:rsidRPr="008441F8" w:rsidRDefault="00AE654E" w:rsidP="000165F5">
            <w:pPr>
              <w:jc w:val="both"/>
              <w:rPr>
                <w:sz w:val="18"/>
                <w:szCs w:val="18"/>
                <w:lang w:val="en-US"/>
              </w:rPr>
            </w:pPr>
            <w:r w:rsidRPr="008441F8">
              <w:rPr>
                <w:sz w:val="18"/>
                <w:szCs w:val="18"/>
                <w:lang w:val="en-US"/>
              </w:rPr>
              <w:t xml:space="preserve">Cut pBNT’Tmcs’ with EcoRI, Fragment TS224/TS225 from </w:t>
            </w:r>
            <w:r w:rsidRPr="008441F8">
              <w:rPr>
                <w:rFonts w:ascii="Calibri" w:hAnsi="Calibri" w:cs="Calibri"/>
                <w:sz w:val="18"/>
                <w:szCs w:val="18"/>
                <w:lang w:val="en-US"/>
              </w:rPr>
              <w:t>pGNW-fabD(Ts) W258Q</w:t>
            </w:r>
          </w:p>
        </w:tc>
        <w:tc>
          <w:tcPr>
            <w:tcW w:w="1984" w:type="dxa"/>
          </w:tcPr>
          <w:p w14:paraId="07454E39" w14:textId="77777777" w:rsidR="00AE654E" w:rsidRPr="008441F8" w:rsidRDefault="00AE654E" w:rsidP="000165F5">
            <w:pPr>
              <w:jc w:val="both"/>
              <w:rPr>
                <w:sz w:val="18"/>
                <w:szCs w:val="18"/>
                <w:lang w:val="en-US"/>
              </w:rPr>
            </w:pPr>
            <w:r w:rsidRPr="008441F8">
              <w:rPr>
                <w:sz w:val="18"/>
                <w:szCs w:val="18"/>
                <w:lang w:val="en-US"/>
              </w:rPr>
              <w:t>This study</w:t>
            </w:r>
          </w:p>
          <w:p w14:paraId="08D69490" w14:textId="77777777" w:rsidR="00AE654E" w:rsidRPr="008441F8" w:rsidRDefault="00AE654E" w:rsidP="000165F5">
            <w:pPr>
              <w:jc w:val="both"/>
              <w:rPr>
                <w:sz w:val="18"/>
                <w:szCs w:val="18"/>
                <w:lang w:val="en-US"/>
              </w:rPr>
            </w:pPr>
            <w:r w:rsidRPr="008441F8">
              <w:rPr>
                <w:sz w:val="18"/>
                <w:szCs w:val="18"/>
                <w:lang w:val="en-US"/>
              </w:rPr>
              <w:t>Plasmid #204</w:t>
            </w:r>
          </w:p>
        </w:tc>
      </w:tr>
      <w:tr w:rsidR="00AE654E" w:rsidRPr="008441F8" w14:paraId="611336E0" w14:textId="77777777" w:rsidTr="005B7F65">
        <w:tc>
          <w:tcPr>
            <w:tcW w:w="2547" w:type="dxa"/>
          </w:tcPr>
          <w:p w14:paraId="5326AA3B" w14:textId="77777777" w:rsidR="00AE654E" w:rsidRPr="008441F8" w:rsidRDefault="00AE654E" w:rsidP="000165F5">
            <w:pPr>
              <w:jc w:val="both"/>
              <w:rPr>
                <w:sz w:val="18"/>
                <w:szCs w:val="18"/>
                <w:lang w:val="en-US"/>
              </w:rPr>
            </w:pPr>
            <w:r w:rsidRPr="008441F8">
              <w:rPr>
                <w:sz w:val="18"/>
                <w:szCs w:val="18"/>
                <w:lang w:val="en-US"/>
              </w:rPr>
              <w:t>pBNT-sigX</w:t>
            </w:r>
          </w:p>
        </w:tc>
        <w:tc>
          <w:tcPr>
            <w:tcW w:w="4961" w:type="dxa"/>
          </w:tcPr>
          <w:p w14:paraId="0D5D6989" w14:textId="77777777" w:rsidR="00AE654E" w:rsidRPr="008441F8" w:rsidRDefault="00AE654E" w:rsidP="000165F5">
            <w:pPr>
              <w:jc w:val="both"/>
              <w:rPr>
                <w:rFonts w:ascii="Calibri" w:hAnsi="Calibri" w:cs="Calibri"/>
                <w:sz w:val="18"/>
                <w:szCs w:val="18"/>
                <w:lang w:val="en-US"/>
              </w:rPr>
            </w:pPr>
            <w:r w:rsidRPr="008441F8">
              <w:rPr>
                <w:rFonts w:ascii="Calibri" w:hAnsi="Calibri" w:cs="Calibri"/>
                <w:sz w:val="18"/>
                <w:szCs w:val="18"/>
                <w:lang w:val="en-US"/>
              </w:rPr>
              <w:t xml:space="preserve">Salicylate inducible expression vector for </w:t>
            </w:r>
            <w:r w:rsidRPr="008441F8">
              <w:rPr>
                <w:rFonts w:ascii="Calibri" w:hAnsi="Calibri" w:cs="Calibri"/>
                <w:i/>
                <w:sz w:val="18"/>
                <w:szCs w:val="18"/>
                <w:lang w:val="en-US"/>
              </w:rPr>
              <w:t>sigX</w:t>
            </w:r>
            <w:r w:rsidRPr="008441F8">
              <w:rPr>
                <w:rFonts w:ascii="Calibri" w:hAnsi="Calibri" w:cs="Calibri"/>
                <w:sz w:val="18"/>
                <w:szCs w:val="18"/>
                <w:lang w:val="en-US"/>
              </w:rPr>
              <w:t xml:space="preserve"> </w:t>
            </w:r>
            <w:r w:rsidRPr="008441F8">
              <w:rPr>
                <w:sz w:val="18"/>
                <w:szCs w:val="18"/>
                <w:lang w:val="en-US"/>
              </w:rPr>
              <w:t>(PVLB_07650)</w:t>
            </w:r>
          </w:p>
        </w:tc>
        <w:tc>
          <w:tcPr>
            <w:tcW w:w="4678" w:type="dxa"/>
          </w:tcPr>
          <w:p w14:paraId="53A666EA" w14:textId="77777777" w:rsidR="00AE654E" w:rsidRPr="008441F8" w:rsidRDefault="00AE654E" w:rsidP="000165F5">
            <w:pPr>
              <w:jc w:val="both"/>
              <w:rPr>
                <w:sz w:val="18"/>
                <w:szCs w:val="18"/>
                <w:lang w:val="en-US"/>
              </w:rPr>
            </w:pPr>
            <w:r w:rsidRPr="008441F8">
              <w:rPr>
                <w:sz w:val="18"/>
                <w:szCs w:val="18"/>
                <w:lang w:val="en-US"/>
              </w:rPr>
              <w:t>Cut pBNT’Tmcs’ with EcoRI, Fragment TS222/TS223 from VLB120 genome</w:t>
            </w:r>
          </w:p>
        </w:tc>
        <w:tc>
          <w:tcPr>
            <w:tcW w:w="1984" w:type="dxa"/>
          </w:tcPr>
          <w:p w14:paraId="31C6F70D" w14:textId="77777777" w:rsidR="00AE654E" w:rsidRPr="008441F8" w:rsidRDefault="00AE654E" w:rsidP="000165F5">
            <w:pPr>
              <w:jc w:val="both"/>
              <w:rPr>
                <w:sz w:val="18"/>
                <w:szCs w:val="18"/>
                <w:lang w:val="en-US"/>
              </w:rPr>
            </w:pPr>
            <w:r w:rsidRPr="008441F8">
              <w:rPr>
                <w:sz w:val="18"/>
                <w:szCs w:val="18"/>
                <w:lang w:val="en-US"/>
              </w:rPr>
              <w:t>This study</w:t>
            </w:r>
          </w:p>
          <w:p w14:paraId="3900719C" w14:textId="77777777" w:rsidR="00AE654E" w:rsidRPr="008441F8" w:rsidRDefault="00AE654E" w:rsidP="000165F5">
            <w:pPr>
              <w:jc w:val="both"/>
              <w:rPr>
                <w:sz w:val="18"/>
                <w:szCs w:val="18"/>
                <w:lang w:val="en-US"/>
              </w:rPr>
            </w:pPr>
            <w:r w:rsidRPr="008441F8">
              <w:rPr>
                <w:sz w:val="18"/>
                <w:szCs w:val="18"/>
                <w:lang w:val="en-US"/>
              </w:rPr>
              <w:t>Plasmid #205</w:t>
            </w:r>
          </w:p>
        </w:tc>
      </w:tr>
      <w:tr w:rsidR="00AE654E" w:rsidRPr="008441F8" w14:paraId="7A15580D" w14:textId="77777777" w:rsidTr="005B7F65">
        <w:tc>
          <w:tcPr>
            <w:tcW w:w="2547" w:type="dxa"/>
          </w:tcPr>
          <w:p w14:paraId="392D1AF9" w14:textId="77777777" w:rsidR="00AE654E" w:rsidRPr="008441F8" w:rsidRDefault="00AE654E" w:rsidP="000165F5">
            <w:pPr>
              <w:jc w:val="both"/>
              <w:rPr>
                <w:sz w:val="18"/>
                <w:szCs w:val="18"/>
                <w:lang w:val="en-US"/>
              </w:rPr>
            </w:pPr>
            <w:r w:rsidRPr="008441F8">
              <w:rPr>
                <w:sz w:val="18"/>
                <w:szCs w:val="18"/>
                <w:lang w:val="en-US"/>
              </w:rPr>
              <w:t>pBG14g</w:t>
            </w:r>
          </w:p>
        </w:tc>
        <w:tc>
          <w:tcPr>
            <w:tcW w:w="4961" w:type="dxa"/>
          </w:tcPr>
          <w:p w14:paraId="12709601" w14:textId="77777777" w:rsidR="00AE654E" w:rsidRPr="008441F8" w:rsidRDefault="00AE654E" w:rsidP="000165F5">
            <w:pPr>
              <w:jc w:val="both"/>
              <w:rPr>
                <w:sz w:val="18"/>
                <w:szCs w:val="18"/>
                <w:lang w:val="en-US"/>
              </w:rPr>
            </w:pPr>
            <w:r w:rsidRPr="008441F8">
              <w:rPr>
                <w:rFonts w:ascii="Calibri" w:hAnsi="Calibri" w:cs="Calibri"/>
                <w:sz w:val="18"/>
                <w:szCs w:val="18"/>
                <w:lang w:val="en-US"/>
              </w:rPr>
              <w:t>Tn7 delivery vector; Km</w:t>
            </w:r>
            <w:r w:rsidRPr="008441F8">
              <w:rPr>
                <w:rFonts w:ascii="Calibri" w:hAnsi="Calibri" w:cs="Calibri"/>
                <w:sz w:val="18"/>
                <w:szCs w:val="18"/>
                <w:vertAlign w:val="superscript"/>
                <w:lang w:val="en-US"/>
              </w:rPr>
              <w:t>R</w:t>
            </w:r>
            <w:r w:rsidRPr="008441F8">
              <w:rPr>
                <w:rFonts w:ascii="Calibri" w:hAnsi="Calibri" w:cs="Calibri"/>
                <w:sz w:val="18"/>
                <w:szCs w:val="18"/>
                <w:lang w:val="en-US"/>
              </w:rPr>
              <w:t xml:space="preserve"> Gm</w:t>
            </w:r>
            <w:r w:rsidRPr="008441F8">
              <w:rPr>
                <w:rFonts w:ascii="Calibri" w:hAnsi="Calibri" w:cs="Calibri"/>
                <w:sz w:val="18"/>
                <w:szCs w:val="18"/>
                <w:vertAlign w:val="superscript"/>
                <w:lang w:val="en-US"/>
              </w:rPr>
              <w:t>R</w:t>
            </w:r>
            <w:r w:rsidRPr="008441F8">
              <w:rPr>
                <w:rFonts w:ascii="Calibri" w:hAnsi="Calibri" w:cs="Calibri"/>
                <w:sz w:val="18"/>
                <w:szCs w:val="18"/>
                <w:lang w:val="en-US"/>
              </w:rPr>
              <w:t>, oriV(R6K), Tn7L, and Tn7R flanks, BCD2-</w:t>
            </w:r>
            <w:r w:rsidRPr="008441F8">
              <w:rPr>
                <w:rFonts w:ascii="Calibri" w:hAnsi="Calibri" w:cs="Calibri"/>
                <w:i/>
                <w:sz w:val="18"/>
                <w:szCs w:val="18"/>
                <w:lang w:val="en-US"/>
              </w:rPr>
              <w:t>msfgfp</w:t>
            </w:r>
            <w:r w:rsidRPr="008441F8">
              <w:rPr>
                <w:rFonts w:ascii="Calibri" w:hAnsi="Calibri" w:cs="Calibri"/>
                <w:sz w:val="18"/>
                <w:szCs w:val="18"/>
                <w:lang w:val="en-US"/>
              </w:rPr>
              <w:t xml:space="preserve"> fusion, synthetic promoter variants</w:t>
            </w:r>
          </w:p>
        </w:tc>
        <w:tc>
          <w:tcPr>
            <w:tcW w:w="4678" w:type="dxa"/>
          </w:tcPr>
          <w:p w14:paraId="04376C26" w14:textId="77777777" w:rsidR="00AE654E" w:rsidRPr="008441F8" w:rsidRDefault="00AE654E" w:rsidP="000165F5">
            <w:pPr>
              <w:jc w:val="both"/>
              <w:rPr>
                <w:sz w:val="18"/>
                <w:szCs w:val="18"/>
                <w:lang w:val="en-US"/>
              </w:rPr>
            </w:pPr>
          </w:p>
        </w:tc>
        <w:tc>
          <w:tcPr>
            <w:tcW w:w="1984" w:type="dxa"/>
          </w:tcPr>
          <w:p w14:paraId="5D3CA1BB"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{"citationItems":[{"id":"ITEM-1","itemData":{"DOI":"10.1021/acssynbio.5b00058","ISSN":"21615063","abstract":"The soil bacterium Pseudomonas putida is increasingly attracting considerable interest as a platform for advanced metabolic engineering through synthetic biology approaches. However, genomic context, gene copy number, and transcription/translation interplay often introduce considerable uncertainty to the design of reliable genetic constructs. In this work, we have established a standardized heterologous expression device in which the promoter strength is the only variable; the remaining parameters of the flow have stable default values. To this end, we tailored a mini-Tn7 delivery transposon vector that inserts the constructs in a single genomic locus of P. putidas chromosome. This was then merged with a promoter insertion site, an unvarying translational coupler, and a downstream location for placing the gene(s) of interest under fixed assembly rules. This arrangement was exploited to benchmark a collection of synthetic promoters with low transcriptional noise in this bacterial host. Growth experiments and flow cytometry with single-copy promoter-GFP constructs revealed a robust, constitutive behavior of these promoters, whose strengths and properties could be faithfully compared. This standardized expression device significantly extends the repertoire of tools available for reliable metabolic engineering and other genetic enhancements of P. putida.","author":[{"dropping-particle":"","family":"Zobel","given":"Sebastian","non-dropping-particle":"","parse-names":false,"suffix":""},{"dropping-particle":"","family":"Benedetti","given":"Ilaria","non-dropping-particle":"","parse-names":false,"suffix":""},{"dropping-particle":"","family":"Eisenbach","given":"Lara","non-dropping-particle":"","parse-names":false,"suffix":""},{"dropping-particle":"","family":"Lorenzo","given":"Victor","non-dropping-particle":"De","parse-names":false,"suffix":""},{"dropping-particle":"","family":"Wierckx","given":"Nick","non-dropping-particle":"","parse-names":false,"suffix":""},{"dropping-particle":"","family":"Blank","given":"Lars M.","non-dropping-particle":"","parse-names":false,"suffix":""}],"container-title":"ACS Synthetic Biology","id":"ITEM-1","issue":"12","issued":{"date-parts":[["2015"]]},"page":"1341-1351","title":"Tn7-Based Device for Calibrated Heterologous Gene Expression in &lt;i&gt;Pseudomonas putida&lt;/i&gt;","type":"article-journal","volume":"4"},"uris":["http://www.mendeley.com/documents/?uuid=f96a8e6a-0ae6-442f-9896-b2c29b6a263a"]}],"mendeley":{"formattedCitation":"(Zobel et al., 2015)","manualFormatting":"Zobel et al. (2015)","plainTextFormattedCitation":"(Zobel et al., 2015)","previouslyFormattedCitation":"(Zobel et al., 2015)"},"properties":{"noteIndex":0},"schema":"https://github.com/citation-style-language/schema/raw/master/csl-citation.json"}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Zobel et al. (2015)</w:t>
            </w:r>
            <w:r w:rsidRPr="008441F8">
              <w:rPr>
                <w:sz w:val="18"/>
                <w:szCs w:val="18"/>
                <w:lang w:val="en-US"/>
              </w:rPr>
              <w:fldChar w:fldCharType="end"/>
            </w:r>
          </w:p>
        </w:tc>
      </w:tr>
      <w:tr w:rsidR="00AE654E" w:rsidRPr="008441F8" w14:paraId="2AAD8539" w14:textId="77777777" w:rsidTr="005B7F65">
        <w:tc>
          <w:tcPr>
            <w:tcW w:w="2547" w:type="dxa"/>
          </w:tcPr>
          <w:p w14:paraId="1FDFD1C0" w14:textId="77777777" w:rsidR="00AE654E" w:rsidRPr="008441F8" w:rsidRDefault="00AE654E" w:rsidP="000165F5">
            <w:pPr>
              <w:jc w:val="both"/>
              <w:rPr>
                <w:sz w:val="18"/>
                <w:szCs w:val="18"/>
                <w:lang w:val="en-US"/>
              </w:rPr>
            </w:pPr>
            <w:r w:rsidRPr="008441F8">
              <w:rPr>
                <w:sz w:val="18"/>
                <w:szCs w:val="18"/>
                <w:lang w:val="en-US"/>
              </w:rPr>
              <w:t>pBG14g-PstrSTS-Sc4CL</w:t>
            </w:r>
            <w:r w:rsidRPr="008441F8">
              <w:rPr>
                <w:sz w:val="18"/>
                <w:szCs w:val="18"/>
                <w:vertAlign w:val="superscript"/>
                <w:lang w:val="en-US"/>
              </w:rPr>
              <w:t>A294G</w:t>
            </w:r>
            <w:r w:rsidRPr="008441F8">
              <w:rPr>
                <w:sz w:val="18"/>
                <w:szCs w:val="18"/>
                <w:lang w:val="en-US"/>
              </w:rPr>
              <w:t>-AtPAL2</w:t>
            </w:r>
          </w:p>
        </w:tc>
        <w:tc>
          <w:tcPr>
            <w:tcW w:w="4961" w:type="dxa"/>
          </w:tcPr>
          <w:p w14:paraId="687E834C" w14:textId="77777777" w:rsidR="00AE654E" w:rsidRPr="008441F8" w:rsidRDefault="00AE654E" w:rsidP="000165F5">
            <w:pPr>
              <w:jc w:val="both"/>
              <w:rPr>
                <w:sz w:val="18"/>
                <w:szCs w:val="18"/>
                <w:lang w:val="en-US"/>
              </w:rPr>
            </w:pPr>
            <w:r w:rsidRPr="008441F8">
              <w:rPr>
                <w:sz w:val="18"/>
                <w:szCs w:val="18"/>
                <w:lang w:val="en-US"/>
              </w:rPr>
              <w:t xml:space="preserve">Pinosylvin synthesis module with STS from </w:t>
            </w:r>
            <w:r w:rsidRPr="008441F8">
              <w:rPr>
                <w:i/>
                <w:sz w:val="18"/>
                <w:szCs w:val="18"/>
                <w:lang w:val="en-US"/>
              </w:rPr>
              <w:t>P. strobus</w:t>
            </w:r>
          </w:p>
        </w:tc>
        <w:tc>
          <w:tcPr>
            <w:tcW w:w="4678" w:type="dxa"/>
          </w:tcPr>
          <w:p w14:paraId="587FDE90" w14:textId="77777777" w:rsidR="00AE654E" w:rsidRPr="008441F8" w:rsidRDefault="00AE654E" w:rsidP="000165F5">
            <w:pPr>
              <w:jc w:val="both"/>
              <w:rPr>
                <w:sz w:val="18"/>
                <w:szCs w:val="18"/>
                <w:lang w:val="en-US"/>
              </w:rPr>
            </w:pPr>
          </w:p>
        </w:tc>
        <w:tc>
          <w:tcPr>
            <w:tcW w:w="1984" w:type="dxa"/>
          </w:tcPr>
          <w:p w14:paraId="3C8A1FFE"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{"citationItems":[{"id":"ITEM-1","itemData":{"author":[{"dropping-particle":"","family":"Otto","given":"Maike","non-dropping-particle":"","parse-names":false,"suffix":""}],"id":"ITEM-1","issued":{"date-parts":[["2019"]]},"note":"for cinnamaldehyde and cinnamoyl alcohol need only one additional enzyme each starting from cinnamoyl-CoA\n\nknockout of the repressor GlpR reduces lag-phases on glycerol (ref 313)\n\nref 347 feedback resistant ACC (4 subunits) from Photorabdus luminescens","number-of-pages":"131","title":"Microbial catalysis of renewable resources into aromatics via the central metabolic precursor phenylalanine","type":"thesis"},"uris":["http://www.mendeley.com/documents/?uuid=6aecda5f-bda1-474b-b037-4026053b3165"]}],"mendeley":{"formattedCitation":"(Otto, 2019)","manualFormatting":"Otto (2019)","plainTextFormattedCitation":"(Otto, 2019)","previouslyFormattedCitation":"(Otto, 2019)"},"properties":{"noteIndex":0},"schema":"https://github.com/citation-style-language/schema/raw/master/csl-citation.json"}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Otto (2019)</w:t>
            </w:r>
            <w:r w:rsidRPr="008441F8">
              <w:rPr>
                <w:sz w:val="18"/>
                <w:szCs w:val="18"/>
                <w:lang w:val="en-US"/>
              </w:rPr>
              <w:fldChar w:fldCharType="end"/>
            </w:r>
          </w:p>
          <w:p w14:paraId="19FA1969" w14:textId="77777777" w:rsidR="00AE654E" w:rsidRPr="008441F8" w:rsidRDefault="00AE654E" w:rsidP="000165F5">
            <w:pPr>
              <w:jc w:val="both"/>
              <w:rPr>
                <w:sz w:val="18"/>
                <w:szCs w:val="18"/>
                <w:lang w:val="en-US"/>
              </w:rPr>
            </w:pPr>
            <w:r w:rsidRPr="008441F8">
              <w:rPr>
                <w:sz w:val="18"/>
                <w:szCs w:val="18"/>
                <w:lang w:val="en-US"/>
              </w:rPr>
              <w:t>Plasmid #90</w:t>
            </w:r>
          </w:p>
        </w:tc>
      </w:tr>
      <w:tr w:rsidR="00AE654E" w:rsidRPr="008441F8" w14:paraId="45C72D02" w14:textId="77777777" w:rsidTr="005B7F65">
        <w:tc>
          <w:tcPr>
            <w:tcW w:w="2547" w:type="dxa"/>
          </w:tcPr>
          <w:p w14:paraId="5DDC9866" w14:textId="77777777" w:rsidR="00AE654E" w:rsidRPr="008441F8" w:rsidRDefault="00AE654E" w:rsidP="000165F5">
            <w:pPr>
              <w:jc w:val="both"/>
              <w:rPr>
                <w:sz w:val="18"/>
                <w:szCs w:val="18"/>
                <w:lang w:val="en-US"/>
              </w:rPr>
            </w:pPr>
            <w:r w:rsidRPr="008441F8">
              <w:rPr>
                <w:sz w:val="18"/>
                <w:szCs w:val="18"/>
                <w:lang w:val="en-US"/>
              </w:rPr>
              <w:t>pBG14g-</w:t>
            </w:r>
            <w:bookmarkStart w:id="6" w:name="_Hlk126514912"/>
            <w:r w:rsidRPr="008441F8">
              <w:rPr>
                <w:sz w:val="18"/>
                <w:szCs w:val="18"/>
                <w:lang w:val="en-US"/>
              </w:rPr>
              <w:t>PstrSTS</w:t>
            </w:r>
            <w:bookmarkEnd w:id="6"/>
            <w:r w:rsidRPr="008441F8">
              <w:rPr>
                <w:sz w:val="18"/>
                <w:szCs w:val="18"/>
                <w:lang w:val="en-US"/>
              </w:rPr>
              <w:t>*-Sc4CL</w:t>
            </w:r>
            <w:r w:rsidRPr="008441F8">
              <w:rPr>
                <w:sz w:val="18"/>
                <w:szCs w:val="18"/>
                <w:vertAlign w:val="superscript"/>
                <w:lang w:val="en-US"/>
              </w:rPr>
              <w:t>A294G</w:t>
            </w:r>
            <w:r w:rsidRPr="008441F8">
              <w:rPr>
                <w:sz w:val="18"/>
                <w:szCs w:val="18"/>
                <w:lang w:val="en-US"/>
              </w:rPr>
              <w:t>-AtPAL2</w:t>
            </w:r>
          </w:p>
        </w:tc>
        <w:tc>
          <w:tcPr>
            <w:tcW w:w="4961" w:type="dxa"/>
          </w:tcPr>
          <w:p w14:paraId="72CF5FD6" w14:textId="77777777" w:rsidR="00AE654E" w:rsidRPr="008441F8" w:rsidRDefault="00AE654E" w:rsidP="000165F5">
            <w:pPr>
              <w:jc w:val="both"/>
              <w:rPr>
                <w:sz w:val="18"/>
                <w:szCs w:val="18"/>
                <w:lang w:val="en-US"/>
              </w:rPr>
            </w:pPr>
            <w:r w:rsidRPr="008441F8">
              <w:rPr>
                <w:sz w:val="18"/>
                <w:szCs w:val="18"/>
                <w:lang w:val="en-US"/>
              </w:rPr>
              <w:t xml:space="preserve">Pinosylvin synthesis module with STS from </w:t>
            </w:r>
            <w:r w:rsidRPr="008441F8">
              <w:rPr>
                <w:i/>
                <w:sz w:val="18"/>
                <w:szCs w:val="18"/>
                <w:lang w:val="en-US"/>
              </w:rPr>
              <w:t>P. strobus</w:t>
            </w:r>
            <w:r w:rsidRPr="008441F8">
              <w:rPr>
                <w:sz w:val="18"/>
                <w:szCs w:val="18"/>
                <w:lang w:val="en-US"/>
              </w:rPr>
              <w:t xml:space="preserve"> (codon optimized for </w:t>
            </w:r>
            <w:r w:rsidRPr="008441F8">
              <w:rPr>
                <w:i/>
                <w:sz w:val="18"/>
                <w:szCs w:val="18"/>
                <w:lang w:val="en-US"/>
              </w:rPr>
              <w:t>E. coli</w:t>
            </w:r>
            <w:r w:rsidRPr="008441F8">
              <w:rPr>
                <w:sz w:val="18"/>
                <w:szCs w:val="18"/>
                <w:lang w:val="en-US"/>
              </w:rPr>
              <w:t>)</w:t>
            </w:r>
          </w:p>
        </w:tc>
        <w:tc>
          <w:tcPr>
            <w:tcW w:w="4678" w:type="dxa"/>
          </w:tcPr>
          <w:p w14:paraId="189C8C55" w14:textId="77777777" w:rsidR="00AE654E" w:rsidRPr="008441F8" w:rsidRDefault="00AE654E" w:rsidP="000165F5">
            <w:pPr>
              <w:jc w:val="both"/>
              <w:rPr>
                <w:sz w:val="18"/>
                <w:szCs w:val="18"/>
                <w:lang w:val="en-US"/>
              </w:rPr>
            </w:pPr>
          </w:p>
        </w:tc>
        <w:tc>
          <w:tcPr>
            <w:tcW w:w="1984" w:type="dxa"/>
          </w:tcPr>
          <w:p w14:paraId="48C04875"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{"citationItems":[{"id":"ITEM-1","itemData":{"author":[{"dropping-particle":"","family":"Otto","given":"Maike","non-dropping-particle":"","parse-names":false,"suffix":""}],"id":"ITEM-1","issued":{"date-parts":[["2019"]]},"note":"for cinnamaldehyde and cinnamoyl alcohol need only one additional enzyme each starting from cinnamoyl-CoA\n\nknockout of the repressor GlpR reduces lag-phases on glycerol (ref 313)\n\nref 347 feedback resistant ACC (4 subunits) from Photorabdus luminescens","number-of-pages":"131","title":"Microbial catalysis of renewable resources into aromatics via the central metabolic precursor phenylalanine","type":"thesis"},"uris":["http://www.mendeley.com/documents/?uuid=6aecda5f-bda1-474b-b037-4026053b3165"]}],"mendeley":{"formattedCitation":"(Otto, 2019)","manualFormatting":"Otto (2019)","plainTextFormattedCitation":"(Otto, 2019)","previouslyFormattedCitation":"(Otto, 2019)"},"properties":{"noteIndex":0},"schema":"https://github.com/citation-style-language/schema/raw/master/csl-citation.json"}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Otto (2019)</w:t>
            </w:r>
            <w:r w:rsidRPr="008441F8">
              <w:rPr>
                <w:sz w:val="18"/>
                <w:szCs w:val="18"/>
                <w:lang w:val="en-US"/>
              </w:rPr>
              <w:fldChar w:fldCharType="end"/>
            </w:r>
          </w:p>
          <w:p w14:paraId="13A89775" w14:textId="77777777" w:rsidR="00AE654E" w:rsidRPr="008441F8" w:rsidRDefault="00AE654E" w:rsidP="000165F5">
            <w:pPr>
              <w:jc w:val="both"/>
              <w:rPr>
                <w:sz w:val="18"/>
                <w:szCs w:val="18"/>
                <w:lang w:val="en-US"/>
              </w:rPr>
            </w:pPr>
            <w:r w:rsidRPr="008441F8">
              <w:rPr>
                <w:sz w:val="18"/>
                <w:szCs w:val="18"/>
                <w:lang w:val="en-US"/>
              </w:rPr>
              <w:t>Plasmid #89</w:t>
            </w:r>
          </w:p>
        </w:tc>
      </w:tr>
      <w:tr w:rsidR="00AE654E" w:rsidRPr="008441F8" w14:paraId="0D2BE42C" w14:textId="77777777" w:rsidTr="005B7F65">
        <w:tc>
          <w:tcPr>
            <w:tcW w:w="2547" w:type="dxa"/>
          </w:tcPr>
          <w:p w14:paraId="051686D6" w14:textId="77777777" w:rsidR="00AE654E" w:rsidRPr="008441F8" w:rsidRDefault="00AE654E" w:rsidP="000165F5">
            <w:pPr>
              <w:jc w:val="both"/>
              <w:rPr>
                <w:sz w:val="18"/>
                <w:szCs w:val="18"/>
                <w:lang w:val="en-US"/>
              </w:rPr>
            </w:pPr>
            <w:r w:rsidRPr="008441F8">
              <w:rPr>
                <w:sz w:val="18"/>
                <w:szCs w:val="18"/>
                <w:lang w:val="en-US"/>
              </w:rPr>
              <w:t>pBG14g-AhSTS-Sc4CL</w:t>
            </w:r>
            <w:r w:rsidRPr="008441F8">
              <w:rPr>
                <w:sz w:val="18"/>
                <w:szCs w:val="18"/>
                <w:vertAlign w:val="superscript"/>
                <w:lang w:val="en-US"/>
              </w:rPr>
              <w:t>A294G</w:t>
            </w:r>
            <w:r w:rsidRPr="008441F8">
              <w:rPr>
                <w:sz w:val="18"/>
                <w:szCs w:val="18"/>
                <w:lang w:val="en-US"/>
              </w:rPr>
              <w:t>-AtPAL2</w:t>
            </w:r>
          </w:p>
        </w:tc>
        <w:tc>
          <w:tcPr>
            <w:tcW w:w="4961" w:type="dxa"/>
          </w:tcPr>
          <w:p w14:paraId="4C3F82CD" w14:textId="77777777" w:rsidR="00AE654E" w:rsidRPr="008441F8" w:rsidRDefault="00AE654E" w:rsidP="000165F5">
            <w:pPr>
              <w:jc w:val="both"/>
              <w:rPr>
                <w:iCs/>
                <w:sz w:val="20"/>
                <w:szCs w:val="18"/>
                <w:lang w:val="en-US"/>
              </w:rPr>
            </w:pPr>
            <w:r w:rsidRPr="008441F8">
              <w:rPr>
                <w:sz w:val="18"/>
                <w:szCs w:val="18"/>
                <w:lang w:val="en-US"/>
              </w:rPr>
              <w:t xml:space="preserve">Pinosylvin synthesis module with STS from </w:t>
            </w:r>
            <w:r w:rsidRPr="008441F8">
              <w:rPr>
                <w:i/>
                <w:sz w:val="18"/>
                <w:szCs w:val="18"/>
                <w:lang w:val="en-US"/>
              </w:rPr>
              <w:t xml:space="preserve">A. </w:t>
            </w:r>
            <w:r w:rsidRPr="008441F8">
              <w:rPr>
                <w:i/>
                <w:sz w:val="18"/>
                <w:lang w:val="en-US"/>
              </w:rPr>
              <w:t>hypogaea</w:t>
            </w:r>
            <w:r w:rsidRPr="008441F8">
              <w:rPr>
                <w:iCs/>
                <w:sz w:val="18"/>
                <w:lang w:val="en-US"/>
              </w:rPr>
              <w:t xml:space="preserve"> (UniProt: Q9SLV5; GeneBank: AXN70034.1; UniProt: P45724)</w:t>
            </w:r>
          </w:p>
        </w:tc>
        <w:tc>
          <w:tcPr>
            <w:tcW w:w="4678" w:type="dxa"/>
          </w:tcPr>
          <w:p w14:paraId="3B89E21E" w14:textId="77777777" w:rsidR="00AE654E" w:rsidRPr="008441F8" w:rsidRDefault="00AE654E" w:rsidP="000165F5">
            <w:pPr>
              <w:jc w:val="both"/>
              <w:rPr>
                <w:sz w:val="18"/>
                <w:szCs w:val="18"/>
                <w:lang w:val="en-US"/>
              </w:rPr>
            </w:pPr>
          </w:p>
        </w:tc>
        <w:tc>
          <w:tcPr>
            <w:tcW w:w="1984" w:type="dxa"/>
          </w:tcPr>
          <w:p w14:paraId="33B4651A"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{"citationItems":[{"id":"ITEM-1","itemData":{"author":[{"dropping-particle":"","family":"Otto","given":"Maike","non-dropping-particle":"","parse-names":false,"suffix":""}],"id":"ITEM-1","issued":{"date-parts":[["2019"]]},"note":"for cinnamaldehyde and cinnamoyl alcohol need only one additional enzyme each starting from cinnamoyl-CoA\n\nknockout of the repressor GlpR reduces lag-phases on glycerol (ref 313)\n\nref 347 feedback resistant ACC (4 subunits) from Photorabdus luminescens","number-of-pages":"131","title":"Microbial catalysis of renewable resources into aromatics via the central metabolic precursor phenylalanine","type":"thesis"},"uris":["http://www.mendeley.com/documents/?uuid=6aecda5f-bda1-474b-b037-4026053b3165"]}],"mendeley":{"formattedCitation":"(Otto, 2019)","manualFormatting":"Otto (2019)","plainTextFormattedCitation":"(Otto, 2019)","previouslyFormattedCitation":"(Otto, 2019)"},"properties":{"noteIndex":0},"schema":"https://github.com/citation-style-language/schema/raw/master/csl-citation.json"}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Otto (2019)</w:t>
            </w:r>
            <w:r w:rsidRPr="008441F8">
              <w:rPr>
                <w:sz w:val="18"/>
                <w:szCs w:val="18"/>
                <w:lang w:val="en-US"/>
              </w:rPr>
              <w:fldChar w:fldCharType="end"/>
            </w:r>
          </w:p>
          <w:p w14:paraId="2A9765DF" w14:textId="77777777" w:rsidR="00AE654E" w:rsidRPr="008441F8" w:rsidRDefault="00AE654E" w:rsidP="000165F5">
            <w:pPr>
              <w:jc w:val="both"/>
              <w:rPr>
                <w:sz w:val="18"/>
                <w:szCs w:val="18"/>
                <w:lang w:val="en-US"/>
              </w:rPr>
            </w:pPr>
            <w:r w:rsidRPr="008441F8">
              <w:rPr>
                <w:sz w:val="18"/>
                <w:szCs w:val="18"/>
                <w:lang w:val="en-US"/>
              </w:rPr>
              <w:t>Plasmid #54</w:t>
            </w:r>
          </w:p>
        </w:tc>
      </w:tr>
      <w:tr w:rsidR="00AE654E" w:rsidRPr="008441F8" w14:paraId="28000616" w14:textId="77777777" w:rsidTr="005B7F65">
        <w:tc>
          <w:tcPr>
            <w:tcW w:w="2547" w:type="dxa"/>
          </w:tcPr>
          <w:p w14:paraId="67DD1C63" w14:textId="77777777" w:rsidR="00AE654E" w:rsidRPr="008441F8" w:rsidRDefault="00AE654E" w:rsidP="000165F5">
            <w:pPr>
              <w:jc w:val="both"/>
              <w:rPr>
                <w:sz w:val="18"/>
                <w:szCs w:val="18"/>
                <w:lang w:val="en-US"/>
              </w:rPr>
            </w:pPr>
            <w:r w:rsidRPr="008441F8">
              <w:rPr>
                <w:sz w:val="18"/>
                <w:szCs w:val="18"/>
                <w:lang w:val="en-US"/>
              </w:rPr>
              <w:t>pBG14g-his.AhSTS-Sc4CL</w:t>
            </w:r>
            <w:r w:rsidRPr="008441F8">
              <w:rPr>
                <w:sz w:val="18"/>
                <w:szCs w:val="18"/>
                <w:vertAlign w:val="superscript"/>
                <w:lang w:val="en-US"/>
              </w:rPr>
              <w:t>A294G</w:t>
            </w:r>
            <w:r w:rsidRPr="008441F8">
              <w:rPr>
                <w:sz w:val="18"/>
                <w:szCs w:val="18"/>
                <w:lang w:val="en-US"/>
              </w:rPr>
              <w:t>-AtPAL2</w:t>
            </w:r>
          </w:p>
        </w:tc>
        <w:tc>
          <w:tcPr>
            <w:tcW w:w="4961" w:type="dxa"/>
          </w:tcPr>
          <w:p w14:paraId="2896E8D8" w14:textId="77777777" w:rsidR="00AE654E" w:rsidRPr="008441F8" w:rsidRDefault="00AE654E" w:rsidP="000165F5">
            <w:pPr>
              <w:jc w:val="both"/>
              <w:rPr>
                <w:sz w:val="18"/>
                <w:szCs w:val="18"/>
                <w:lang w:val="en-US"/>
              </w:rPr>
            </w:pPr>
            <w:r w:rsidRPr="008441F8">
              <w:rPr>
                <w:sz w:val="18"/>
                <w:szCs w:val="18"/>
                <w:lang w:val="en-US"/>
              </w:rPr>
              <w:t>Pinosylvin synthesis module with his-tag</w:t>
            </w:r>
          </w:p>
        </w:tc>
        <w:tc>
          <w:tcPr>
            <w:tcW w:w="4678" w:type="dxa"/>
          </w:tcPr>
          <w:p w14:paraId="406F6901" w14:textId="77777777" w:rsidR="00AE654E" w:rsidRPr="008441F8" w:rsidRDefault="00AE654E" w:rsidP="000165F5">
            <w:pPr>
              <w:jc w:val="both"/>
              <w:rPr>
                <w:sz w:val="18"/>
                <w:szCs w:val="18"/>
                <w:lang w:val="en-US"/>
              </w:rPr>
            </w:pPr>
            <w:r w:rsidRPr="008441F8">
              <w:rPr>
                <w:sz w:val="18"/>
                <w:szCs w:val="18"/>
                <w:lang w:val="en-US"/>
              </w:rPr>
              <w:t>Fragment TS015/TS001 and TS016/TS004 from pBG14g-ahSTS-4CL-atPAL</w:t>
            </w:r>
          </w:p>
        </w:tc>
        <w:tc>
          <w:tcPr>
            <w:tcW w:w="1984" w:type="dxa"/>
          </w:tcPr>
          <w:p w14:paraId="0D1C3098" w14:textId="77777777" w:rsidR="00AE654E" w:rsidRPr="008441F8" w:rsidRDefault="00AE654E" w:rsidP="000165F5">
            <w:pPr>
              <w:jc w:val="both"/>
              <w:rPr>
                <w:sz w:val="18"/>
                <w:szCs w:val="18"/>
                <w:lang w:val="en-US"/>
              </w:rPr>
            </w:pPr>
            <w:r w:rsidRPr="008441F8">
              <w:rPr>
                <w:sz w:val="18"/>
                <w:szCs w:val="18"/>
                <w:lang w:val="en-US"/>
              </w:rPr>
              <w:t>This study</w:t>
            </w:r>
          </w:p>
          <w:p w14:paraId="0D80F9E9" w14:textId="77777777" w:rsidR="00AE654E" w:rsidRPr="008441F8" w:rsidRDefault="00AE654E" w:rsidP="000165F5">
            <w:pPr>
              <w:jc w:val="both"/>
              <w:rPr>
                <w:sz w:val="18"/>
                <w:szCs w:val="18"/>
                <w:lang w:val="en-US"/>
              </w:rPr>
            </w:pPr>
            <w:r w:rsidRPr="008441F8">
              <w:rPr>
                <w:sz w:val="18"/>
                <w:szCs w:val="18"/>
                <w:lang w:val="en-US"/>
              </w:rPr>
              <w:t>Plasmid #52</w:t>
            </w:r>
          </w:p>
        </w:tc>
      </w:tr>
      <w:tr w:rsidR="00AE654E" w:rsidRPr="008441F8" w14:paraId="1E5E7B66" w14:textId="77777777" w:rsidTr="005B7F65">
        <w:tc>
          <w:tcPr>
            <w:tcW w:w="2547" w:type="dxa"/>
          </w:tcPr>
          <w:p w14:paraId="23F63470" w14:textId="77777777" w:rsidR="00AE654E" w:rsidRPr="00B97427" w:rsidRDefault="00AE654E" w:rsidP="000165F5">
            <w:pPr>
              <w:jc w:val="both"/>
              <w:rPr>
                <w:sz w:val="18"/>
                <w:szCs w:val="18"/>
              </w:rPr>
            </w:pPr>
            <w:r w:rsidRPr="00B97427">
              <w:rPr>
                <w:sz w:val="18"/>
                <w:szCs w:val="18"/>
              </w:rPr>
              <w:lastRenderedPageBreak/>
              <w:t>pBG14g-his.AhSTS.opt-Sc4CL</w:t>
            </w:r>
            <w:r w:rsidRPr="00B97427">
              <w:rPr>
                <w:sz w:val="18"/>
                <w:szCs w:val="18"/>
                <w:vertAlign w:val="superscript"/>
              </w:rPr>
              <w:t>A294G</w:t>
            </w:r>
            <w:r w:rsidRPr="00B97427">
              <w:rPr>
                <w:sz w:val="18"/>
                <w:szCs w:val="18"/>
              </w:rPr>
              <w:t>-AtPAL2</w:t>
            </w:r>
          </w:p>
        </w:tc>
        <w:tc>
          <w:tcPr>
            <w:tcW w:w="4961" w:type="dxa"/>
          </w:tcPr>
          <w:p w14:paraId="37467A3D" w14:textId="77777777" w:rsidR="00AE654E" w:rsidRPr="008441F8" w:rsidRDefault="00AE654E" w:rsidP="000165F5">
            <w:pPr>
              <w:jc w:val="both"/>
              <w:rPr>
                <w:sz w:val="18"/>
                <w:szCs w:val="18"/>
                <w:lang w:val="en-US"/>
              </w:rPr>
            </w:pPr>
            <w:r w:rsidRPr="008441F8">
              <w:rPr>
                <w:sz w:val="18"/>
                <w:szCs w:val="18"/>
                <w:lang w:val="en-US"/>
              </w:rPr>
              <w:t>Pinosylvin synthesis module with his-tag (codon optimized)</w:t>
            </w:r>
          </w:p>
        </w:tc>
        <w:tc>
          <w:tcPr>
            <w:tcW w:w="4678" w:type="dxa"/>
          </w:tcPr>
          <w:p w14:paraId="25CC4FED" w14:textId="77777777" w:rsidR="00AE654E" w:rsidRPr="008441F8" w:rsidRDefault="00AE654E" w:rsidP="000165F5">
            <w:pPr>
              <w:jc w:val="both"/>
              <w:rPr>
                <w:sz w:val="18"/>
                <w:szCs w:val="18"/>
                <w:lang w:val="en-US"/>
              </w:rPr>
            </w:pPr>
            <w:r w:rsidRPr="008441F8">
              <w:rPr>
                <w:sz w:val="18"/>
                <w:szCs w:val="18"/>
                <w:lang w:val="en-US"/>
              </w:rPr>
              <w:t>Fragment TS001/TS002 and TS003/TS004 from pBG14g-ahSTS-4CL-atPAL; gBlock opt.AhSTS from synthesis</w:t>
            </w:r>
          </w:p>
        </w:tc>
        <w:tc>
          <w:tcPr>
            <w:tcW w:w="1984" w:type="dxa"/>
          </w:tcPr>
          <w:p w14:paraId="2A2301CE" w14:textId="77777777" w:rsidR="00AE654E" w:rsidRPr="008441F8" w:rsidRDefault="00AE654E" w:rsidP="000165F5">
            <w:pPr>
              <w:jc w:val="both"/>
              <w:rPr>
                <w:sz w:val="18"/>
                <w:szCs w:val="18"/>
                <w:lang w:val="en-US"/>
              </w:rPr>
            </w:pPr>
            <w:r w:rsidRPr="008441F8">
              <w:rPr>
                <w:sz w:val="18"/>
                <w:szCs w:val="18"/>
                <w:lang w:val="en-US"/>
              </w:rPr>
              <w:t>This study</w:t>
            </w:r>
          </w:p>
          <w:p w14:paraId="1C08F2FC" w14:textId="77777777" w:rsidR="00AE654E" w:rsidRPr="008441F8" w:rsidRDefault="00AE654E" w:rsidP="000165F5">
            <w:pPr>
              <w:jc w:val="both"/>
              <w:rPr>
                <w:sz w:val="18"/>
                <w:szCs w:val="18"/>
                <w:lang w:val="en-US"/>
              </w:rPr>
            </w:pPr>
            <w:r w:rsidRPr="008441F8">
              <w:rPr>
                <w:sz w:val="18"/>
                <w:szCs w:val="18"/>
                <w:lang w:val="en-US"/>
              </w:rPr>
              <w:t>Plasmid #53</w:t>
            </w:r>
          </w:p>
        </w:tc>
      </w:tr>
      <w:tr w:rsidR="00AE654E" w:rsidRPr="008441F8" w14:paraId="4EAC2EB3" w14:textId="77777777" w:rsidTr="005B7F65">
        <w:tc>
          <w:tcPr>
            <w:tcW w:w="2547" w:type="dxa"/>
          </w:tcPr>
          <w:p w14:paraId="29B0C755" w14:textId="77777777" w:rsidR="00AE654E" w:rsidRPr="008441F8" w:rsidRDefault="00AE654E" w:rsidP="000165F5">
            <w:pPr>
              <w:jc w:val="both"/>
              <w:rPr>
                <w:sz w:val="18"/>
                <w:szCs w:val="18"/>
                <w:lang w:val="en-US"/>
              </w:rPr>
            </w:pPr>
            <w:r w:rsidRPr="008441F8">
              <w:rPr>
                <w:sz w:val="18"/>
                <w:szCs w:val="18"/>
                <w:lang w:val="en-US"/>
              </w:rPr>
              <w:t xml:space="preserve">pBG14f_Kan_FRT_StsTAL </w:t>
            </w:r>
          </w:p>
        </w:tc>
        <w:tc>
          <w:tcPr>
            <w:tcW w:w="4961" w:type="dxa"/>
          </w:tcPr>
          <w:p w14:paraId="7DDBC218" w14:textId="77777777" w:rsidR="00AE654E" w:rsidRPr="008441F8" w:rsidRDefault="00AE654E" w:rsidP="000165F5">
            <w:pPr>
              <w:jc w:val="both"/>
              <w:rPr>
                <w:sz w:val="18"/>
                <w:szCs w:val="18"/>
                <w:lang w:val="en-US"/>
              </w:rPr>
            </w:pPr>
            <w:r w:rsidRPr="008441F8">
              <w:rPr>
                <w:sz w:val="18"/>
                <w:szCs w:val="18"/>
                <w:lang w:val="en-US"/>
              </w:rPr>
              <w:t xml:space="preserve">Plasmid containing tyrosine ammonia lyase from </w:t>
            </w:r>
            <w:r w:rsidRPr="008441F8">
              <w:rPr>
                <w:i/>
                <w:sz w:val="18"/>
                <w:szCs w:val="18"/>
                <w:lang w:val="en-US"/>
              </w:rPr>
              <w:t>Streptomyces sp</w:t>
            </w:r>
            <w:r w:rsidRPr="008441F8">
              <w:rPr>
                <w:sz w:val="18"/>
                <w:szCs w:val="18"/>
                <w:lang w:val="en-US"/>
              </w:rPr>
              <w:t>. NRRL F-4489 (UniProt: A0A0X3WEK2)</w:t>
            </w:r>
          </w:p>
        </w:tc>
        <w:tc>
          <w:tcPr>
            <w:tcW w:w="4678" w:type="dxa"/>
          </w:tcPr>
          <w:p w14:paraId="72B21817" w14:textId="77777777" w:rsidR="00AE654E" w:rsidRPr="008441F8" w:rsidRDefault="00AE654E" w:rsidP="000165F5">
            <w:pPr>
              <w:jc w:val="both"/>
              <w:rPr>
                <w:sz w:val="18"/>
                <w:szCs w:val="18"/>
                <w:lang w:val="en-US"/>
              </w:rPr>
            </w:pPr>
          </w:p>
        </w:tc>
        <w:tc>
          <w:tcPr>
            <w:tcW w:w="1984" w:type="dxa"/>
          </w:tcPr>
          <w:p w14:paraId="3553107C" w14:textId="77777777" w:rsidR="00AE654E" w:rsidRPr="008441F8" w:rsidRDefault="00AE654E" w:rsidP="000165F5">
            <w:pPr>
              <w:jc w:val="both"/>
              <w:rPr>
                <w:sz w:val="18"/>
                <w:szCs w:val="18"/>
                <w:lang w:val="en-US"/>
              </w:rPr>
            </w:pPr>
            <w:r w:rsidRPr="008441F8">
              <w:rPr>
                <w:sz w:val="18"/>
                <w:szCs w:val="18"/>
                <w:lang w:val="en-US"/>
              </w:rPr>
              <w:t>Wynands et al., manuscript in preparation, Plasmid #279</w:t>
            </w:r>
          </w:p>
        </w:tc>
      </w:tr>
      <w:tr w:rsidR="00AE654E" w:rsidRPr="008441F8" w14:paraId="042A7B0E" w14:textId="77777777" w:rsidTr="005B7F65">
        <w:tc>
          <w:tcPr>
            <w:tcW w:w="2547" w:type="dxa"/>
          </w:tcPr>
          <w:p w14:paraId="3E887812" w14:textId="77777777" w:rsidR="00AE654E" w:rsidRPr="008441F8" w:rsidRDefault="00AE654E" w:rsidP="000165F5">
            <w:pPr>
              <w:jc w:val="both"/>
              <w:rPr>
                <w:sz w:val="18"/>
                <w:szCs w:val="18"/>
                <w:lang w:val="en-US"/>
              </w:rPr>
            </w:pPr>
            <w:r w:rsidRPr="008441F8">
              <w:rPr>
                <w:sz w:val="18"/>
                <w:szCs w:val="18"/>
                <w:lang w:val="en-US"/>
              </w:rPr>
              <w:t>pBG14g-his.AhSTS-Sc4CL</w:t>
            </w:r>
            <w:r w:rsidRPr="008441F8">
              <w:rPr>
                <w:sz w:val="18"/>
                <w:szCs w:val="18"/>
                <w:vertAlign w:val="superscript"/>
                <w:lang w:val="en-US"/>
              </w:rPr>
              <w:t>A294G</w:t>
            </w:r>
            <w:r w:rsidRPr="008441F8">
              <w:rPr>
                <w:sz w:val="18"/>
                <w:szCs w:val="18"/>
                <w:lang w:val="en-US"/>
              </w:rPr>
              <w:t>-stsTAL</w:t>
            </w:r>
          </w:p>
        </w:tc>
        <w:tc>
          <w:tcPr>
            <w:tcW w:w="4961" w:type="dxa"/>
          </w:tcPr>
          <w:p w14:paraId="14732BB9" w14:textId="77777777" w:rsidR="00AE654E" w:rsidRPr="008441F8" w:rsidRDefault="00AE654E" w:rsidP="000165F5">
            <w:pPr>
              <w:jc w:val="both"/>
              <w:rPr>
                <w:sz w:val="18"/>
                <w:szCs w:val="18"/>
                <w:lang w:val="en-US"/>
              </w:rPr>
            </w:pPr>
            <w:r w:rsidRPr="008441F8">
              <w:rPr>
                <w:sz w:val="18"/>
                <w:szCs w:val="18"/>
                <w:lang w:val="en-US"/>
              </w:rPr>
              <w:t>Resveratrol synthesis module with his-tag</w:t>
            </w:r>
          </w:p>
        </w:tc>
        <w:tc>
          <w:tcPr>
            <w:tcW w:w="4678" w:type="dxa"/>
          </w:tcPr>
          <w:p w14:paraId="2161223D" w14:textId="77777777" w:rsidR="00AE654E" w:rsidRPr="008441F8" w:rsidRDefault="00AE654E" w:rsidP="000165F5">
            <w:pPr>
              <w:jc w:val="both"/>
              <w:rPr>
                <w:sz w:val="18"/>
                <w:szCs w:val="18"/>
                <w:lang w:val="en-US"/>
              </w:rPr>
            </w:pPr>
            <w:r w:rsidRPr="008441F8">
              <w:rPr>
                <w:sz w:val="18"/>
                <w:szCs w:val="18"/>
                <w:lang w:val="en-US"/>
              </w:rPr>
              <w:t>Fragment TS-275/TS-276 from pBG14g-his.AhSTS-Sc4CL</w:t>
            </w:r>
            <w:r w:rsidRPr="008441F8">
              <w:rPr>
                <w:sz w:val="18"/>
                <w:szCs w:val="18"/>
                <w:vertAlign w:val="superscript"/>
                <w:lang w:val="en-US"/>
              </w:rPr>
              <w:t>A294G</w:t>
            </w:r>
            <w:r w:rsidRPr="008441F8">
              <w:rPr>
                <w:sz w:val="18"/>
                <w:szCs w:val="18"/>
                <w:lang w:val="en-US"/>
              </w:rPr>
              <w:t>-AtPAL2 (plasmid #52), TS277/TS278 from pBG14f_Kan_FRT_StsTAL (Wynands, manuscript in preparation)</w:t>
            </w:r>
          </w:p>
        </w:tc>
        <w:tc>
          <w:tcPr>
            <w:tcW w:w="1984" w:type="dxa"/>
          </w:tcPr>
          <w:p w14:paraId="266B4352" w14:textId="77777777" w:rsidR="00AE654E" w:rsidRPr="008441F8" w:rsidRDefault="00AE654E" w:rsidP="000165F5">
            <w:pPr>
              <w:jc w:val="both"/>
              <w:rPr>
                <w:sz w:val="18"/>
                <w:szCs w:val="18"/>
                <w:lang w:val="en-US"/>
              </w:rPr>
            </w:pPr>
            <w:r w:rsidRPr="008441F8">
              <w:rPr>
                <w:sz w:val="18"/>
                <w:szCs w:val="18"/>
                <w:lang w:val="en-US"/>
              </w:rPr>
              <w:t>This study</w:t>
            </w:r>
          </w:p>
          <w:p w14:paraId="7C026D5D" w14:textId="77777777" w:rsidR="00AE654E" w:rsidRPr="008441F8" w:rsidRDefault="00AE654E" w:rsidP="000165F5">
            <w:pPr>
              <w:jc w:val="both"/>
              <w:rPr>
                <w:sz w:val="18"/>
                <w:szCs w:val="18"/>
                <w:lang w:val="en-US"/>
              </w:rPr>
            </w:pPr>
            <w:r w:rsidRPr="008441F8">
              <w:rPr>
                <w:sz w:val="18"/>
                <w:szCs w:val="18"/>
                <w:lang w:val="en-US"/>
              </w:rPr>
              <w:t>Plasmid #343</w:t>
            </w:r>
          </w:p>
        </w:tc>
      </w:tr>
      <w:tr w:rsidR="00AE654E" w:rsidRPr="008441F8" w14:paraId="3AA0CE26" w14:textId="77777777" w:rsidTr="005B7F65">
        <w:tc>
          <w:tcPr>
            <w:tcW w:w="2547" w:type="dxa"/>
          </w:tcPr>
          <w:p w14:paraId="6CBF7BB6" w14:textId="77777777" w:rsidR="00AE654E" w:rsidRPr="008441F8" w:rsidRDefault="00AE654E" w:rsidP="000165F5">
            <w:pPr>
              <w:jc w:val="both"/>
              <w:rPr>
                <w:sz w:val="18"/>
                <w:szCs w:val="18"/>
                <w:lang w:val="en-US"/>
              </w:rPr>
            </w:pPr>
            <w:r w:rsidRPr="008441F8">
              <w:rPr>
                <w:sz w:val="18"/>
                <w:szCs w:val="18"/>
                <w:lang w:val="en-US"/>
              </w:rPr>
              <w:t>pBG14f_FRT_Kan</w:t>
            </w:r>
          </w:p>
        </w:tc>
        <w:tc>
          <w:tcPr>
            <w:tcW w:w="4961" w:type="dxa"/>
          </w:tcPr>
          <w:p w14:paraId="08F9D4BB" w14:textId="77777777" w:rsidR="00AE654E" w:rsidRPr="008441F8" w:rsidRDefault="00AE654E" w:rsidP="000165F5">
            <w:pPr>
              <w:jc w:val="both"/>
              <w:rPr>
                <w:rFonts w:cstheme="minorHAnsi"/>
                <w:sz w:val="18"/>
                <w:szCs w:val="18"/>
                <w:lang w:val="en-US"/>
              </w:rPr>
            </w:pPr>
            <w:r w:rsidRPr="008441F8">
              <w:rPr>
                <w:rFonts w:cstheme="minorHAnsi"/>
                <w:color w:val="000000" w:themeColor="text1"/>
                <w:sz w:val="18"/>
                <w:szCs w:val="18"/>
                <w:lang w:val="en-US"/>
              </w:rPr>
              <w:t>Km</w:t>
            </w:r>
            <w:r w:rsidRPr="008441F8">
              <w:rPr>
                <w:rFonts w:cstheme="minorHAnsi"/>
                <w:color w:val="000000" w:themeColor="text1"/>
                <w:sz w:val="18"/>
                <w:szCs w:val="18"/>
                <w:vertAlign w:val="superscript"/>
                <w:lang w:val="en-US"/>
              </w:rPr>
              <w:t>R</w:t>
            </w:r>
            <w:r w:rsidRPr="008441F8">
              <w:rPr>
                <w:rFonts w:cstheme="minorHAnsi"/>
                <w:color w:val="000000" w:themeColor="text1"/>
                <w:sz w:val="18"/>
                <w:szCs w:val="18"/>
                <w:lang w:val="en-US"/>
              </w:rPr>
              <w:t xml:space="preserve"> flanked by FRT sites, </w:t>
            </w:r>
            <w:r w:rsidRPr="008441F8">
              <w:rPr>
                <w:rFonts w:cstheme="minorHAnsi"/>
                <w:i/>
                <w:color w:val="000000" w:themeColor="text1"/>
                <w:sz w:val="18"/>
                <w:szCs w:val="18"/>
                <w:lang w:val="en-US"/>
              </w:rPr>
              <w:t>oriV(R6K)</w:t>
            </w:r>
            <w:r w:rsidRPr="008441F8">
              <w:rPr>
                <w:rFonts w:cstheme="minorHAnsi"/>
                <w:color w:val="000000" w:themeColor="text1"/>
                <w:sz w:val="18"/>
                <w:szCs w:val="18"/>
                <w:lang w:val="en-US"/>
              </w:rPr>
              <w:t xml:space="preserve">, </w:t>
            </w:r>
            <w:r w:rsidRPr="008441F8">
              <w:rPr>
                <w:rFonts w:cstheme="minorHAnsi"/>
                <w:i/>
                <w:color w:val="000000" w:themeColor="text1"/>
                <w:sz w:val="18"/>
                <w:szCs w:val="18"/>
                <w:lang w:val="en-US"/>
              </w:rPr>
              <w:t>oriT</w:t>
            </w:r>
            <w:r w:rsidRPr="008441F8">
              <w:rPr>
                <w:rFonts w:cstheme="minorHAnsi"/>
                <w:color w:val="000000" w:themeColor="text1"/>
                <w:sz w:val="18"/>
                <w:szCs w:val="18"/>
                <w:lang w:val="en-US"/>
              </w:rPr>
              <w:t xml:space="preserve">, mini-Tn7 transposon delivery vector, </w:t>
            </w:r>
            <w:r w:rsidRPr="008441F8">
              <w:rPr>
                <w:rFonts w:cstheme="minorHAnsi"/>
                <w:i/>
                <w:color w:val="000000" w:themeColor="text1"/>
                <w:sz w:val="18"/>
                <w:szCs w:val="18"/>
                <w:lang w:val="en-US"/>
              </w:rPr>
              <w:t>P</w:t>
            </w:r>
            <w:r w:rsidRPr="008441F8">
              <w:rPr>
                <w:rFonts w:cstheme="minorHAnsi"/>
                <w:i/>
                <w:color w:val="000000" w:themeColor="text1"/>
                <w:sz w:val="18"/>
                <w:szCs w:val="18"/>
                <w:vertAlign w:val="subscript"/>
                <w:lang w:val="en-US"/>
              </w:rPr>
              <w:t>14f</w:t>
            </w:r>
            <w:r w:rsidRPr="008441F8">
              <w:rPr>
                <w:rFonts w:cstheme="minorHAnsi"/>
                <w:i/>
                <w:color w:val="000000" w:themeColor="text1"/>
                <w:sz w:val="18"/>
                <w:szCs w:val="18"/>
                <w:lang w:val="en-US"/>
              </w:rPr>
              <w:t>(BCD2)</w:t>
            </w:r>
            <w:r w:rsidRPr="008441F8">
              <w:rPr>
                <w:rFonts w:cstheme="minorHAnsi"/>
                <w:color w:val="000000" w:themeColor="text1"/>
                <w:sz w:val="18"/>
                <w:szCs w:val="18"/>
                <w:lang w:val="en-US"/>
              </w:rPr>
              <w:t>→</w:t>
            </w:r>
            <w:r w:rsidRPr="008441F8">
              <w:rPr>
                <w:rFonts w:cstheme="minorHAnsi"/>
                <w:i/>
                <w:color w:val="000000" w:themeColor="text1"/>
                <w:sz w:val="18"/>
                <w:szCs w:val="18"/>
                <w:lang w:val="en-US"/>
              </w:rPr>
              <w:t>msfgfp</w:t>
            </w:r>
            <w:r w:rsidRPr="008441F8">
              <w:rPr>
                <w:rFonts w:cstheme="minorHAnsi"/>
                <w:sz w:val="18"/>
                <w:szCs w:val="18"/>
                <w:lang w:val="en-US"/>
              </w:rPr>
              <w:t xml:space="preserve"> </w:t>
            </w:r>
          </w:p>
        </w:tc>
        <w:tc>
          <w:tcPr>
            <w:tcW w:w="4678" w:type="dxa"/>
          </w:tcPr>
          <w:p w14:paraId="7362B4B7" w14:textId="77777777" w:rsidR="00AE654E" w:rsidRPr="008441F8" w:rsidRDefault="00AE654E" w:rsidP="000165F5">
            <w:pPr>
              <w:jc w:val="both"/>
              <w:rPr>
                <w:sz w:val="18"/>
                <w:szCs w:val="18"/>
                <w:lang w:val="en-US"/>
              </w:rPr>
            </w:pPr>
          </w:p>
        </w:tc>
        <w:tc>
          <w:tcPr>
            <w:tcW w:w="1984" w:type="dxa"/>
          </w:tcPr>
          <w:p w14:paraId="2CBBC5D2" w14:textId="77777777" w:rsidR="00AE654E" w:rsidRPr="008441F8" w:rsidRDefault="00AE654E" w:rsidP="000165F5">
            <w:pPr>
              <w:jc w:val="both"/>
              <w:rPr>
                <w:sz w:val="18"/>
                <w:szCs w:val="18"/>
                <w:lang w:val="en-US"/>
              </w:rPr>
            </w:pPr>
            <w:r w:rsidRPr="008441F8">
              <w:rPr>
                <w:sz w:val="18"/>
                <w:szCs w:val="18"/>
                <w:lang w:val="en-US"/>
              </w:rPr>
              <w:fldChar w:fldCharType="begin" w:fldLock="1"/>
            </w:r>
            <w:r w:rsidRPr="008441F8">
              <w:rPr>
                <w:sz w:val="18"/>
                <w:szCs w:val="18"/>
                <w:lang w:val="en-US"/>
              </w:rPr>
              <w:instrText>ADDIN CSL_CITATION {"citationItems":[{"id":"ITEM-1","itemData":{"DOI":"10.1016/j.ymben.2021.05.001","ISSN":"10967176","PMID":"33965615","abstract":"Bio-upcycling of plastics is an upcoming alternative approach for the valorization of diverse polymer waste streams that are too contaminated for traditional recycling technologies. Adipic acid and other medium-chain-length dicarboxylates are key components of many plastics including polyamides, polyesters, and polyurethanes. This study endows Pseudomonas putida KT2440 with efficient metabolism of these dicarboxylates. The dcaAKIJP genes from Acinetobacter baylyi, encoding initial uptake and activation steps for dicarboxylates, were heterologously expressed. Genomic integration of these dca genes proved to be a key factor in efficient and reliable expression. In spite of this, adaptive laboratory evolution was needed to connect these initial steps to the native metabolism of P. putida, thereby enabling growth on adipate as sole carbon source. Genome sequencing of evolved strains revealed a central role of a paa gene cluster, which encodes parts of the phenylacetate metabolic degradation pathway with parallels to adipate metabolism. Fast growth required the additional disruption of the regulator-encoding psrA, which upregulates redundant β-oxidation genes. This knowledge enabled the rational reverse engineering of a strain that can not only use adipate, but also other medium-chain-length dicarboxylates like suberate and sebacate. The reverse engineered strain grows on adipate with a rate of 0.35 ± 0.01 h−1, reaching a final biomass yield of 0.27 ± 0.00 gCDW gadipate−1. In a nitrogen-limited medium this strain produced polyhydroxyalkanoates from adipate up to 25% of its CDW. This proves its applicability for the upcycling of mixtures of polymers made from fossile resources into biodegradable counterparts.","author":[{"dropping-particle":"","family":"Ackermann","given":"Yannic S.","non-dropping-particle":"","parse-names":false,"suffix":""},{"dropping-particle":"","family":"Li","given":"Wing-Jin","non-dropping-particle":"","parse-names":false,"suffix":""},{"dropping-particle":"","family":"Hipt","given":"Leonie","non-dropping-particle":"Op de","parse-names":false,"suffix":""},{"dropping-particle":"","family":"Niehoff","given":"Paul-Joachim","non-dropping-particle":"","parse-names":false,"suffix":""},{"dropping-particle":"","family":"Casey","given":"William","non-dropping-particle":"","parse-names":false,"suffix":""},{"dropping-particle":"","family":"Polen","given":"Tino","non-dropping-particle":"","parse-names":false,"suffix":""},{"dropping-particle":"","family":"Köbbing","given":"Sebastian","non-dropping-particle":"","parse-names":false,"suffix":""},{"dropping-particle":"","family":"Ballerstedt","given":"Hendrik","non-dropping-particle":"","parse-names":false,"suffix":""},{"dropping-particle":"","family":"Wynands","given":"Benedikt","non-dropping-particle":"","parse-names":false,"suffix":""},{"dropping-particle":"","family":"O'Connor","given":"Kevin","non-dropping-particle":"","parse-names":false,"suffix":""},{"dropping-particle":"","family":"Blank","given":"Lars M.","non-dropping-particle":"","parse-names":false,"suffix":""},{"dropping-particle":"","family":"Wierckx","given":"Nick","non-dropping-particle":"","parse-names":false,"suffix":""}],"container-title":"Metabolic Engineering","id":"ITEM-1","issue":"February","issued":{"date-parts":[["2021"]]},"page":"29-40","title":"Engineering adipic acid metabolism in &lt;i&gt;Pseudomonas putida&lt;/i&gt;","type":"article-journal","volume":"67"},"uris":["http://www.mendeley.com/documents/?uuid=467642f3-6aae-4818-b8f9-447044d47800"]}],"mendeley":{"formattedCitation":"(Ackermann et al., 2021)","manualFormatting":"Ackermann et al. (2021)","plainTextFormattedCitation":"(Ackermann et al., 2021)","previouslyFormattedCitation":"(Ackermann et al., 2021)"},"properties":{"noteIndex":0},"schema":"https://github.com/citation-style-language/schema/raw/master/csl-citation.json"}</w:instrText>
            </w:r>
            <w:r w:rsidRPr="008441F8">
              <w:rPr>
                <w:sz w:val="18"/>
                <w:szCs w:val="18"/>
                <w:lang w:val="en-US"/>
              </w:rPr>
              <w:fldChar w:fldCharType="separate"/>
            </w:r>
            <w:r w:rsidRPr="008441F8">
              <w:rPr>
                <w:noProof/>
                <w:sz w:val="18"/>
                <w:szCs w:val="18"/>
                <w:lang w:val="en-US"/>
              </w:rPr>
              <w:t>Ackermann et al. (2021)</w:t>
            </w:r>
            <w:r w:rsidRPr="008441F8">
              <w:rPr>
                <w:sz w:val="18"/>
                <w:szCs w:val="18"/>
                <w:lang w:val="en-US"/>
              </w:rPr>
              <w:fldChar w:fldCharType="end"/>
            </w:r>
          </w:p>
        </w:tc>
      </w:tr>
      <w:tr w:rsidR="00AE654E" w:rsidRPr="008441F8" w14:paraId="4B86DB38" w14:textId="77777777" w:rsidTr="005B7F65">
        <w:tc>
          <w:tcPr>
            <w:tcW w:w="2547" w:type="dxa"/>
          </w:tcPr>
          <w:p w14:paraId="46115EDF" w14:textId="77777777" w:rsidR="00AE654E" w:rsidRPr="00B97427" w:rsidRDefault="00AE654E" w:rsidP="000165F5">
            <w:pPr>
              <w:jc w:val="both"/>
              <w:rPr>
                <w:sz w:val="18"/>
                <w:szCs w:val="18"/>
              </w:rPr>
            </w:pPr>
            <w:r w:rsidRPr="00B97427">
              <w:rPr>
                <w:sz w:val="18"/>
                <w:szCs w:val="18"/>
              </w:rPr>
              <w:t>pBG14f_Km_FRT_SgRppA.opt</w:t>
            </w:r>
          </w:p>
        </w:tc>
        <w:tc>
          <w:tcPr>
            <w:tcW w:w="4961" w:type="dxa"/>
          </w:tcPr>
          <w:p w14:paraId="23716D66" w14:textId="77777777" w:rsidR="00AE654E" w:rsidRPr="008441F8" w:rsidRDefault="00AE654E" w:rsidP="000165F5">
            <w:pPr>
              <w:jc w:val="both"/>
              <w:rPr>
                <w:rFonts w:cstheme="minorHAnsi"/>
                <w:color w:val="000000" w:themeColor="text1"/>
                <w:sz w:val="18"/>
                <w:szCs w:val="18"/>
                <w:lang w:val="en-US"/>
              </w:rPr>
            </w:pPr>
            <w:r w:rsidRPr="008441F8">
              <w:rPr>
                <w:rFonts w:cstheme="minorHAnsi"/>
                <w:color w:val="000000" w:themeColor="text1"/>
                <w:sz w:val="18"/>
                <w:szCs w:val="18"/>
                <w:lang w:val="en-US"/>
              </w:rPr>
              <w:t>Recyclable flaviolin production module (1,3,6,8-tetrahydroxynaphthalene synthase) (UniProt: Q54240)</w:t>
            </w:r>
          </w:p>
        </w:tc>
        <w:tc>
          <w:tcPr>
            <w:tcW w:w="4678" w:type="dxa"/>
          </w:tcPr>
          <w:p w14:paraId="517EBA78" w14:textId="77777777" w:rsidR="00AE654E" w:rsidRPr="008441F8" w:rsidRDefault="00AE654E" w:rsidP="000165F5">
            <w:pPr>
              <w:jc w:val="both"/>
              <w:rPr>
                <w:sz w:val="18"/>
                <w:szCs w:val="18"/>
                <w:lang w:val="en-US"/>
              </w:rPr>
            </w:pPr>
            <w:r w:rsidRPr="008441F8">
              <w:rPr>
                <w:sz w:val="18"/>
                <w:szCs w:val="18"/>
                <w:lang w:val="en-US"/>
              </w:rPr>
              <w:t>Fragment TS-106/TS-019 from pBG14f-Kan-FRT, gBlock SgRppA.opt from synthesis</w:t>
            </w:r>
          </w:p>
        </w:tc>
        <w:tc>
          <w:tcPr>
            <w:tcW w:w="1984" w:type="dxa"/>
          </w:tcPr>
          <w:p w14:paraId="05C47453" w14:textId="77777777" w:rsidR="00AE654E" w:rsidRPr="008441F8" w:rsidRDefault="00AE654E" w:rsidP="000165F5">
            <w:pPr>
              <w:jc w:val="both"/>
              <w:rPr>
                <w:sz w:val="18"/>
                <w:szCs w:val="18"/>
                <w:lang w:val="en-US"/>
              </w:rPr>
            </w:pPr>
            <w:r w:rsidRPr="008441F8">
              <w:rPr>
                <w:sz w:val="18"/>
                <w:szCs w:val="18"/>
                <w:lang w:val="en-US"/>
              </w:rPr>
              <w:t>This study</w:t>
            </w:r>
          </w:p>
          <w:p w14:paraId="5CAF48C0" w14:textId="77777777" w:rsidR="00AE654E" w:rsidRPr="008441F8" w:rsidRDefault="00AE654E" w:rsidP="000165F5">
            <w:pPr>
              <w:jc w:val="both"/>
              <w:rPr>
                <w:sz w:val="18"/>
                <w:szCs w:val="18"/>
                <w:lang w:val="en-US"/>
              </w:rPr>
            </w:pPr>
            <w:r w:rsidRPr="008441F8">
              <w:rPr>
                <w:sz w:val="18"/>
                <w:szCs w:val="18"/>
                <w:lang w:val="en-US"/>
              </w:rPr>
              <w:t>Plasmid #207</w:t>
            </w:r>
          </w:p>
        </w:tc>
      </w:tr>
      <w:tr w:rsidR="00AE654E" w:rsidRPr="008441F8" w14:paraId="0AD6DE77" w14:textId="77777777" w:rsidTr="005B7F65">
        <w:tc>
          <w:tcPr>
            <w:tcW w:w="2547" w:type="dxa"/>
          </w:tcPr>
          <w:p w14:paraId="0F94DBA6" w14:textId="77777777" w:rsidR="00AE654E" w:rsidRPr="008441F8" w:rsidRDefault="00AE654E" w:rsidP="000165F5">
            <w:pPr>
              <w:jc w:val="both"/>
              <w:rPr>
                <w:sz w:val="18"/>
                <w:szCs w:val="18"/>
                <w:lang w:val="en-US"/>
              </w:rPr>
            </w:pPr>
            <w:r w:rsidRPr="008441F8">
              <w:rPr>
                <w:sz w:val="18"/>
                <w:szCs w:val="18"/>
                <w:lang w:val="en-US"/>
              </w:rPr>
              <w:t>pBG14f_Km_FRT_his.AhSTS-Sc4CL</w:t>
            </w:r>
            <w:r w:rsidRPr="008441F8">
              <w:rPr>
                <w:sz w:val="18"/>
                <w:szCs w:val="18"/>
                <w:vertAlign w:val="superscript"/>
                <w:lang w:val="en-US"/>
              </w:rPr>
              <w:t>A294G</w:t>
            </w:r>
            <w:r w:rsidRPr="008441F8">
              <w:rPr>
                <w:sz w:val="18"/>
                <w:szCs w:val="18"/>
                <w:lang w:val="en-US"/>
              </w:rPr>
              <w:t>-AtPAL2</w:t>
            </w:r>
          </w:p>
        </w:tc>
        <w:tc>
          <w:tcPr>
            <w:tcW w:w="4961" w:type="dxa"/>
          </w:tcPr>
          <w:p w14:paraId="5CBB1CC9" w14:textId="77777777" w:rsidR="00AE654E" w:rsidRPr="008441F8" w:rsidRDefault="00AE654E" w:rsidP="000165F5">
            <w:pPr>
              <w:jc w:val="both"/>
              <w:rPr>
                <w:sz w:val="18"/>
                <w:szCs w:val="18"/>
                <w:lang w:val="en-US"/>
              </w:rPr>
            </w:pPr>
            <w:r w:rsidRPr="008441F8">
              <w:rPr>
                <w:sz w:val="18"/>
                <w:szCs w:val="18"/>
                <w:lang w:val="en-US"/>
              </w:rPr>
              <w:t>Pinosylvin synthesis module with recyclable KmR</w:t>
            </w:r>
          </w:p>
        </w:tc>
        <w:tc>
          <w:tcPr>
            <w:tcW w:w="4678" w:type="dxa"/>
          </w:tcPr>
          <w:p w14:paraId="114C2EAD" w14:textId="77777777" w:rsidR="00AE654E" w:rsidRPr="008441F8" w:rsidRDefault="00AE654E" w:rsidP="000165F5">
            <w:pPr>
              <w:jc w:val="both"/>
              <w:rPr>
                <w:sz w:val="18"/>
                <w:szCs w:val="18"/>
                <w:lang w:val="en-US"/>
              </w:rPr>
            </w:pPr>
            <w:r w:rsidRPr="008441F8">
              <w:rPr>
                <w:sz w:val="18"/>
                <w:szCs w:val="18"/>
                <w:lang w:val="en-US"/>
              </w:rPr>
              <w:t>Fragment TS-106/TS-019 from pBG14f-Kan-FRT, Fragment TS020/TS238 from pBG14g-his.ahSTS-4CL-atPAL (plasmid #52)</w:t>
            </w:r>
          </w:p>
        </w:tc>
        <w:tc>
          <w:tcPr>
            <w:tcW w:w="1984" w:type="dxa"/>
          </w:tcPr>
          <w:p w14:paraId="32A76CA7" w14:textId="77777777" w:rsidR="00AE654E" w:rsidRPr="008441F8" w:rsidRDefault="00AE654E" w:rsidP="000165F5">
            <w:pPr>
              <w:jc w:val="both"/>
              <w:rPr>
                <w:sz w:val="18"/>
                <w:szCs w:val="18"/>
                <w:lang w:val="en-US"/>
              </w:rPr>
            </w:pPr>
            <w:r w:rsidRPr="008441F8">
              <w:rPr>
                <w:sz w:val="18"/>
                <w:szCs w:val="18"/>
                <w:lang w:val="en-US"/>
              </w:rPr>
              <w:t>This study</w:t>
            </w:r>
          </w:p>
          <w:p w14:paraId="5C001949" w14:textId="77777777" w:rsidR="00AE654E" w:rsidRPr="008441F8" w:rsidRDefault="00AE654E" w:rsidP="000165F5">
            <w:pPr>
              <w:jc w:val="both"/>
              <w:rPr>
                <w:sz w:val="18"/>
                <w:szCs w:val="18"/>
                <w:lang w:val="en-US"/>
              </w:rPr>
            </w:pPr>
            <w:r w:rsidRPr="008441F8">
              <w:rPr>
                <w:sz w:val="18"/>
                <w:szCs w:val="18"/>
                <w:lang w:val="en-US"/>
              </w:rPr>
              <w:t>Plasmid #229</w:t>
            </w:r>
          </w:p>
        </w:tc>
      </w:tr>
    </w:tbl>
    <w:p w14:paraId="41C7E16C" w14:textId="2F5A79D2" w:rsidR="00AE654E" w:rsidRPr="008441F8" w:rsidRDefault="00AE654E" w:rsidP="00B84A00">
      <w:pPr>
        <w:spacing w:line="276" w:lineRule="auto"/>
        <w:jc w:val="both"/>
        <w:rPr>
          <w:lang w:val="en-US"/>
        </w:rPr>
        <w:sectPr w:rsidR="00AE654E" w:rsidRPr="008441F8" w:rsidSect="000165F5">
          <w:headerReference w:type="default" r:id="rId21"/>
          <w:footerReference w:type="default" r:id="rId22"/>
          <w:pgSz w:w="16838" w:h="11906" w:orient="landscape"/>
          <w:pgMar w:top="1417" w:right="1417" w:bottom="1417" w:left="1134" w:header="708" w:footer="708" w:gutter="0"/>
          <w:cols w:space="708"/>
          <w:docGrid w:linePitch="360"/>
        </w:sectPr>
      </w:pPr>
    </w:p>
    <w:p w14:paraId="2C1FB60A" w14:textId="77777777" w:rsidR="00AE654E" w:rsidRPr="008441F8" w:rsidRDefault="00AE654E" w:rsidP="00B84A00">
      <w:pPr>
        <w:pStyle w:val="berschrift2"/>
        <w:spacing w:line="276" w:lineRule="auto"/>
        <w:rPr>
          <w:lang w:val="en-US"/>
        </w:rPr>
      </w:pPr>
      <w:bookmarkStart w:id="7" w:name="_Toc132047260"/>
      <w:r w:rsidRPr="008441F8">
        <w:rPr>
          <w:rStyle w:val="berschrift2Zchn"/>
          <w:b/>
          <w:lang w:val="en-US"/>
        </w:rPr>
        <w:lastRenderedPageBreak/>
        <w:t>Table S3:</w:t>
      </w:r>
      <w:r w:rsidRPr="008441F8">
        <w:rPr>
          <w:lang w:val="en-US"/>
        </w:rPr>
        <w:t xml:space="preserve"> Oligonucleotides used in this study</w:t>
      </w:r>
      <w:bookmarkEnd w:id="7"/>
    </w:p>
    <w:p w14:paraId="57977440" w14:textId="77777777" w:rsidR="00AE654E" w:rsidRPr="008441F8" w:rsidRDefault="00AE654E" w:rsidP="00B84A00">
      <w:pPr>
        <w:pStyle w:val="KeinLeerraum"/>
        <w:spacing w:line="276" w:lineRule="auto"/>
        <w:rPr>
          <w:lang w:val="en-US"/>
        </w:rPr>
      </w:pPr>
      <w:r w:rsidRPr="008441F8">
        <w:rPr>
          <w:lang w:val="en-US"/>
        </w:rPr>
        <w:t>Shown are their name, sequence, and description. Oligonucleotides used for diagnostic PCRs and sequencings are not included.</w:t>
      </w:r>
    </w:p>
    <w:tbl>
      <w:tblPr>
        <w:tblStyle w:val="Tabellenraster"/>
        <w:tblpPr w:leftFromText="141" w:rightFromText="141" w:vertAnchor="text" w:tblpY="1"/>
        <w:tblOverlap w:val="never"/>
        <w:tblW w:w="0" w:type="auto"/>
        <w:tblLook w:val="04A0" w:firstRow="1" w:lastRow="0" w:firstColumn="1" w:lastColumn="0" w:noHBand="0" w:noVBand="1"/>
      </w:tblPr>
      <w:tblGrid>
        <w:gridCol w:w="979"/>
        <w:gridCol w:w="2726"/>
        <w:gridCol w:w="5357"/>
      </w:tblGrid>
      <w:tr w:rsidR="00AE654E" w:rsidRPr="008441F8" w14:paraId="7AAA5A9D" w14:textId="77777777" w:rsidTr="005B7F65">
        <w:tc>
          <w:tcPr>
            <w:tcW w:w="1271" w:type="dxa"/>
          </w:tcPr>
          <w:p w14:paraId="68539430" w14:textId="77777777" w:rsidR="00AE654E" w:rsidRPr="008441F8" w:rsidRDefault="00AE654E" w:rsidP="000165F5">
            <w:pPr>
              <w:jc w:val="both"/>
              <w:rPr>
                <w:lang w:val="en-US"/>
              </w:rPr>
            </w:pPr>
            <w:r w:rsidRPr="008441F8">
              <w:rPr>
                <w:lang w:val="en-US"/>
              </w:rPr>
              <w:t>Primer No.</w:t>
            </w:r>
          </w:p>
        </w:tc>
        <w:tc>
          <w:tcPr>
            <w:tcW w:w="3686" w:type="dxa"/>
          </w:tcPr>
          <w:p w14:paraId="6968E694" w14:textId="77777777" w:rsidR="00AE654E" w:rsidRPr="008441F8" w:rsidRDefault="00AE654E" w:rsidP="000165F5">
            <w:pPr>
              <w:jc w:val="both"/>
              <w:rPr>
                <w:lang w:val="en-US"/>
              </w:rPr>
            </w:pPr>
            <w:r w:rsidRPr="008441F8">
              <w:rPr>
                <w:lang w:val="en-US"/>
              </w:rPr>
              <w:t>Description</w:t>
            </w:r>
          </w:p>
        </w:tc>
        <w:tc>
          <w:tcPr>
            <w:tcW w:w="3969" w:type="dxa"/>
          </w:tcPr>
          <w:p w14:paraId="7862A03E" w14:textId="77777777" w:rsidR="00AE654E" w:rsidRPr="008441F8" w:rsidRDefault="00AE654E" w:rsidP="000165F5">
            <w:pPr>
              <w:jc w:val="both"/>
              <w:rPr>
                <w:lang w:val="en-US"/>
              </w:rPr>
            </w:pPr>
            <w:r w:rsidRPr="008441F8">
              <w:rPr>
                <w:lang w:val="en-US"/>
              </w:rPr>
              <w:t>Sequence</w:t>
            </w:r>
          </w:p>
        </w:tc>
      </w:tr>
      <w:tr w:rsidR="00AE654E" w:rsidRPr="008441F8" w14:paraId="57DAAFFA" w14:textId="77777777" w:rsidTr="005B7F65">
        <w:trPr>
          <w:trHeight w:val="300"/>
        </w:trPr>
        <w:tc>
          <w:tcPr>
            <w:tcW w:w="1271" w:type="dxa"/>
            <w:noWrap/>
            <w:hideMark/>
          </w:tcPr>
          <w:p w14:paraId="74632F0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BW_463</w:t>
            </w:r>
          </w:p>
        </w:tc>
        <w:tc>
          <w:tcPr>
            <w:tcW w:w="3686" w:type="dxa"/>
            <w:noWrap/>
            <w:hideMark/>
          </w:tcPr>
          <w:p w14:paraId="1C10BC7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pBG42 amplification fwd primer</w:t>
            </w:r>
          </w:p>
        </w:tc>
        <w:tc>
          <w:tcPr>
            <w:tcW w:w="3969" w:type="dxa"/>
            <w:noWrap/>
            <w:hideMark/>
          </w:tcPr>
          <w:p w14:paraId="491C259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gaattcgagctcggtaccc</w:t>
            </w:r>
          </w:p>
        </w:tc>
      </w:tr>
      <w:tr w:rsidR="00AE654E" w:rsidRPr="008441F8" w14:paraId="4B64D801" w14:textId="77777777" w:rsidTr="005B7F65">
        <w:trPr>
          <w:trHeight w:val="300"/>
        </w:trPr>
        <w:tc>
          <w:tcPr>
            <w:tcW w:w="1271" w:type="dxa"/>
            <w:noWrap/>
            <w:hideMark/>
          </w:tcPr>
          <w:p w14:paraId="7B9DE46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BW_682</w:t>
            </w:r>
          </w:p>
        </w:tc>
        <w:tc>
          <w:tcPr>
            <w:tcW w:w="3686" w:type="dxa"/>
            <w:noWrap/>
            <w:hideMark/>
          </w:tcPr>
          <w:p w14:paraId="73505AC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pGNW or pEMG BB amplification fwd</w:t>
            </w:r>
          </w:p>
        </w:tc>
        <w:tc>
          <w:tcPr>
            <w:tcW w:w="3969" w:type="dxa"/>
            <w:noWrap/>
            <w:hideMark/>
          </w:tcPr>
          <w:p w14:paraId="6CB7347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tctagagtcgacctgcag</w:t>
            </w:r>
          </w:p>
        </w:tc>
      </w:tr>
      <w:tr w:rsidR="00AE654E" w:rsidRPr="008441F8" w14:paraId="1534A9D1" w14:textId="77777777" w:rsidTr="005B7F65">
        <w:trPr>
          <w:trHeight w:val="300"/>
        </w:trPr>
        <w:tc>
          <w:tcPr>
            <w:tcW w:w="1271" w:type="dxa"/>
            <w:noWrap/>
            <w:hideMark/>
          </w:tcPr>
          <w:p w14:paraId="76BF744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BW_683</w:t>
            </w:r>
          </w:p>
        </w:tc>
        <w:tc>
          <w:tcPr>
            <w:tcW w:w="3686" w:type="dxa"/>
            <w:noWrap/>
            <w:hideMark/>
          </w:tcPr>
          <w:p w14:paraId="29DDBB4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pGNW or pEMG BB amplification rev</w:t>
            </w:r>
          </w:p>
        </w:tc>
        <w:tc>
          <w:tcPr>
            <w:tcW w:w="3969" w:type="dxa"/>
            <w:noWrap/>
            <w:hideMark/>
          </w:tcPr>
          <w:p w14:paraId="3A66CF8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gaattcagattaccctgttatcc</w:t>
            </w:r>
          </w:p>
        </w:tc>
      </w:tr>
      <w:tr w:rsidR="00AE654E" w:rsidRPr="008441F8" w14:paraId="6D5A7B7B" w14:textId="77777777" w:rsidTr="005B7F65">
        <w:trPr>
          <w:trHeight w:val="300"/>
        </w:trPr>
        <w:tc>
          <w:tcPr>
            <w:tcW w:w="1271" w:type="dxa"/>
            <w:noWrap/>
            <w:hideMark/>
          </w:tcPr>
          <w:p w14:paraId="206371B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TS-001</w:t>
            </w:r>
          </w:p>
        </w:tc>
        <w:tc>
          <w:tcPr>
            <w:tcW w:w="3686" w:type="dxa"/>
            <w:noWrap/>
            <w:hideMark/>
          </w:tcPr>
          <w:p w14:paraId="220F766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BB pBG14ffg_fwd with overhang atPAL</w:t>
            </w:r>
          </w:p>
        </w:tc>
        <w:tc>
          <w:tcPr>
            <w:tcW w:w="3969" w:type="dxa"/>
            <w:noWrap/>
            <w:hideMark/>
          </w:tcPr>
          <w:p w14:paraId="463EAC0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tatctgctaaagaattcgagctcggtac</w:t>
            </w:r>
          </w:p>
        </w:tc>
      </w:tr>
      <w:tr w:rsidR="00AE654E" w:rsidRPr="008441F8" w14:paraId="0CB44D37" w14:textId="77777777" w:rsidTr="005B7F65">
        <w:trPr>
          <w:trHeight w:val="300"/>
        </w:trPr>
        <w:tc>
          <w:tcPr>
            <w:tcW w:w="1271" w:type="dxa"/>
            <w:noWrap/>
            <w:hideMark/>
          </w:tcPr>
          <w:p w14:paraId="43400FF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TS-002</w:t>
            </w:r>
          </w:p>
        </w:tc>
        <w:tc>
          <w:tcPr>
            <w:tcW w:w="3686" w:type="dxa"/>
            <w:noWrap/>
            <w:hideMark/>
          </w:tcPr>
          <w:p w14:paraId="0BB0B74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BB pBG14ffg_rev with overhang opt.His-tag</w:t>
            </w:r>
          </w:p>
        </w:tc>
        <w:tc>
          <w:tcPr>
            <w:tcW w:w="3969" w:type="dxa"/>
            <w:noWrap/>
            <w:hideMark/>
          </w:tcPr>
          <w:p w14:paraId="15738B5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tgatgatgcgagctgcccattagaaaacctccttagcatg</w:t>
            </w:r>
          </w:p>
        </w:tc>
      </w:tr>
      <w:tr w:rsidR="00AE654E" w:rsidRPr="008441F8" w14:paraId="659FAA5A" w14:textId="77777777" w:rsidTr="005B7F65">
        <w:trPr>
          <w:trHeight w:val="300"/>
        </w:trPr>
        <w:tc>
          <w:tcPr>
            <w:tcW w:w="1271" w:type="dxa"/>
            <w:noWrap/>
            <w:hideMark/>
          </w:tcPr>
          <w:p w14:paraId="7C02DF9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TS-015</w:t>
            </w:r>
          </w:p>
        </w:tc>
        <w:tc>
          <w:tcPr>
            <w:tcW w:w="3686" w:type="dxa"/>
            <w:noWrap/>
            <w:hideMark/>
          </w:tcPr>
          <w:p w14:paraId="15488EE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BB pBG14ffg_rev with overhang His-tag</w:t>
            </w:r>
          </w:p>
        </w:tc>
        <w:tc>
          <w:tcPr>
            <w:tcW w:w="3969" w:type="dxa"/>
            <w:noWrap/>
            <w:hideMark/>
          </w:tcPr>
          <w:p w14:paraId="1BA009A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tgatggtgatggctgctgcccattagaaaacctccttagcatg</w:t>
            </w:r>
          </w:p>
        </w:tc>
      </w:tr>
      <w:tr w:rsidR="00AE654E" w:rsidRPr="008441F8" w14:paraId="288CD510" w14:textId="77777777" w:rsidTr="005B7F65">
        <w:trPr>
          <w:trHeight w:val="300"/>
        </w:trPr>
        <w:tc>
          <w:tcPr>
            <w:tcW w:w="1271" w:type="dxa"/>
            <w:noWrap/>
            <w:hideMark/>
          </w:tcPr>
          <w:p w14:paraId="3957389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TS-016</w:t>
            </w:r>
          </w:p>
        </w:tc>
        <w:tc>
          <w:tcPr>
            <w:tcW w:w="3686" w:type="dxa"/>
            <w:noWrap/>
            <w:hideMark/>
          </w:tcPr>
          <w:p w14:paraId="62235A1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 xml:space="preserve">AhSTS fwd with His6tag overhang </w:t>
            </w:r>
          </w:p>
        </w:tc>
        <w:tc>
          <w:tcPr>
            <w:tcW w:w="3969" w:type="dxa"/>
            <w:noWrap/>
            <w:hideMark/>
          </w:tcPr>
          <w:p w14:paraId="0143FEA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atgggcagcagccatcaccatcatcaccacagccaggatccaatggtgtccgtgtccggcatc</w:t>
            </w:r>
          </w:p>
        </w:tc>
      </w:tr>
      <w:tr w:rsidR="00AE654E" w:rsidRPr="008441F8" w14:paraId="4193A104" w14:textId="77777777" w:rsidTr="005B7F65">
        <w:trPr>
          <w:trHeight w:val="300"/>
        </w:trPr>
        <w:tc>
          <w:tcPr>
            <w:tcW w:w="1271" w:type="dxa"/>
            <w:noWrap/>
            <w:hideMark/>
          </w:tcPr>
          <w:p w14:paraId="3DD6877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TS-019</w:t>
            </w:r>
          </w:p>
        </w:tc>
        <w:tc>
          <w:tcPr>
            <w:tcW w:w="3686" w:type="dxa"/>
            <w:noWrap/>
            <w:hideMark/>
          </w:tcPr>
          <w:p w14:paraId="6A182F4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on BCD2 for BB amplification</w:t>
            </w:r>
          </w:p>
        </w:tc>
        <w:tc>
          <w:tcPr>
            <w:tcW w:w="3969" w:type="dxa"/>
            <w:noWrap/>
            <w:hideMark/>
          </w:tcPr>
          <w:p w14:paraId="3CDB3BD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attagaaaacctccttagcatg</w:t>
            </w:r>
          </w:p>
        </w:tc>
      </w:tr>
      <w:tr w:rsidR="00AE654E" w:rsidRPr="008441F8" w14:paraId="5ECA0432" w14:textId="77777777" w:rsidTr="005B7F65">
        <w:trPr>
          <w:trHeight w:val="300"/>
        </w:trPr>
        <w:tc>
          <w:tcPr>
            <w:tcW w:w="1271" w:type="dxa"/>
            <w:noWrap/>
            <w:hideMark/>
          </w:tcPr>
          <w:p w14:paraId="5794DE3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TS-020</w:t>
            </w:r>
          </w:p>
        </w:tc>
        <w:tc>
          <w:tcPr>
            <w:tcW w:w="3686" w:type="dxa"/>
            <w:noWrap/>
            <w:hideMark/>
          </w:tcPr>
          <w:p w14:paraId="051E7E1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on BCD2 for Insert amplification</w:t>
            </w:r>
          </w:p>
        </w:tc>
        <w:tc>
          <w:tcPr>
            <w:tcW w:w="3969" w:type="dxa"/>
            <w:noWrap/>
            <w:hideMark/>
          </w:tcPr>
          <w:p w14:paraId="7DD7E71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atgctaaggaggttttctaatg</w:t>
            </w:r>
          </w:p>
        </w:tc>
      </w:tr>
      <w:tr w:rsidR="00AE654E" w:rsidRPr="008441F8" w14:paraId="01598E4C" w14:textId="77777777" w:rsidTr="005B7F65">
        <w:trPr>
          <w:trHeight w:val="300"/>
        </w:trPr>
        <w:tc>
          <w:tcPr>
            <w:tcW w:w="1271" w:type="dxa"/>
            <w:noWrap/>
            <w:hideMark/>
          </w:tcPr>
          <w:p w14:paraId="070FE91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TS-029</w:t>
            </w:r>
          </w:p>
        </w:tc>
        <w:tc>
          <w:tcPr>
            <w:tcW w:w="3686" w:type="dxa"/>
            <w:noWrap/>
            <w:hideMark/>
          </w:tcPr>
          <w:p w14:paraId="086D61D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fabD W258Q</w:t>
            </w:r>
          </w:p>
        </w:tc>
        <w:tc>
          <w:tcPr>
            <w:tcW w:w="3969" w:type="dxa"/>
            <w:noWrap/>
            <w:hideMark/>
          </w:tcPr>
          <w:p w14:paraId="674FF43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taacagggtaatctgaattcgaaggacgccgttcgcct</w:t>
            </w:r>
          </w:p>
        </w:tc>
      </w:tr>
      <w:tr w:rsidR="00AE654E" w:rsidRPr="008441F8" w14:paraId="3D2A1ADE" w14:textId="77777777" w:rsidTr="005B7F65">
        <w:trPr>
          <w:trHeight w:val="300"/>
        </w:trPr>
        <w:tc>
          <w:tcPr>
            <w:tcW w:w="1271" w:type="dxa"/>
            <w:noWrap/>
            <w:hideMark/>
          </w:tcPr>
          <w:p w14:paraId="63B4ADA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TS-030</w:t>
            </w:r>
          </w:p>
        </w:tc>
        <w:tc>
          <w:tcPr>
            <w:tcW w:w="3686" w:type="dxa"/>
            <w:noWrap/>
            <w:hideMark/>
          </w:tcPr>
          <w:p w14:paraId="2577F5A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fabD W258Q</w:t>
            </w:r>
          </w:p>
        </w:tc>
        <w:tc>
          <w:tcPr>
            <w:tcW w:w="3969" w:type="dxa"/>
            <w:noWrap/>
            <w:hideMark/>
          </w:tcPr>
          <w:p w14:paraId="06170BB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cgcactcgacctggcgtaccggctggtacaac</w:t>
            </w:r>
          </w:p>
        </w:tc>
      </w:tr>
      <w:tr w:rsidR="00AE654E" w:rsidRPr="008441F8" w14:paraId="77C78E47" w14:textId="77777777" w:rsidTr="005B7F65">
        <w:trPr>
          <w:trHeight w:val="300"/>
        </w:trPr>
        <w:tc>
          <w:tcPr>
            <w:tcW w:w="1271" w:type="dxa"/>
            <w:noWrap/>
            <w:hideMark/>
          </w:tcPr>
          <w:p w14:paraId="13557BE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TS-031</w:t>
            </w:r>
          </w:p>
        </w:tc>
        <w:tc>
          <w:tcPr>
            <w:tcW w:w="3686" w:type="dxa"/>
            <w:noWrap/>
            <w:hideMark/>
          </w:tcPr>
          <w:p w14:paraId="517E60A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fabD W258Q</w:t>
            </w:r>
          </w:p>
        </w:tc>
        <w:tc>
          <w:tcPr>
            <w:tcW w:w="3969" w:type="dxa"/>
            <w:noWrap/>
            <w:hideMark/>
          </w:tcPr>
          <w:p w14:paraId="784E881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ggtacgccaggtcgagtgcgtgcagac</w:t>
            </w:r>
          </w:p>
        </w:tc>
      </w:tr>
      <w:tr w:rsidR="00AE654E" w:rsidRPr="008441F8" w14:paraId="6AC792E6" w14:textId="77777777" w:rsidTr="005B7F65">
        <w:trPr>
          <w:trHeight w:val="300"/>
        </w:trPr>
        <w:tc>
          <w:tcPr>
            <w:tcW w:w="1271" w:type="dxa"/>
            <w:noWrap/>
            <w:hideMark/>
          </w:tcPr>
          <w:p w14:paraId="3DAA355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TS-032</w:t>
            </w:r>
          </w:p>
        </w:tc>
        <w:tc>
          <w:tcPr>
            <w:tcW w:w="3686" w:type="dxa"/>
            <w:noWrap/>
            <w:hideMark/>
          </w:tcPr>
          <w:p w14:paraId="45CD856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fabD W258Q</w:t>
            </w:r>
          </w:p>
        </w:tc>
        <w:tc>
          <w:tcPr>
            <w:tcW w:w="3969" w:type="dxa"/>
            <w:noWrap/>
            <w:hideMark/>
          </w:tcPr>
          <w:p w14:paraId="788393B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gcctgcaggtcgactctagacgttgttgaccaagatagccg</w:t>
            </w:r>
          </w:p>
        </w:tc>
      </w:tr>
      <w:tr w:rsidR="00AE654E" w:rsidRPr="008441F8" w14:paraId="06283958" w14:textId="77777777" w:rsidTr="005B7F65">
        <w:trPr>
          <w:trHeight w:val="300"/>
        </w:trPr>
        <w:tc>
          <w:tcPr>
            <w:tcW w:w="1271" w:type="dxa"/>
            <w:noWrap/>
            <w:hideMark/>
          </w:tcPr>
          <w:p w14:paraId="055B684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TS-034</w:t>
            </w:r>
          </w:p>
        </w:tc>
        <w:tc>
          <w:tcPr>
            <w:tcW w:w="3686" w:type="dxa"/>
            <w:noWrap/>
            <w:hideMark/>
          </w:tcPr>
          <w:p w14:paraId="1EBC6D3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Cg accBCD1 in pBT</w:t>
            </w:r>
          </w:p>
        </w:tc>
        <w:tc>
          <w:tcPr>
            <w:tcW w:w="3969" w:type="dxa"/>
            <w:noWrap/>
            <w:hideMark/>
          </w:tcPr>
          <w:p w14:paraId="3DB5E53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 xml:space="preserve">acaggaaacaggaggtaccgaatatgtcagtcgagactagg </w:t>
            </w:r>
          </w:p>
        </w:tc>
      </w:tr>
      <w:tr w:rsidR="00AE654E" w:rsidRPr="008441F8" w14:paraId="44BFC69F" w14:textId="77777777" w:rsidTr="005B7F65">
        <w:trPr>
          <w:trHeight w:val="300"/>
        </w:trPr>
        <w:tc>
          <w:tcPr>
            <w:tcW w:w="1271" w:type="dxa"/>
            <w:noWrap/>
            <w:hideMark/>
          </w:tcPr>
          <w:p w14:paraId="502C92D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TS-035</w:t>
            </w:r>
          </w:p>
        </w:tc>
        <w:tc>
          <w:tcPr>
            <w:tcW w:w="3686" w:type="dxa"/>
            <w:noWrap/>
            <w:hideMark/>
          </w:tcPr>
          <w:p w14:paraId="590988C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Cg accBCD2 in pBT</w:t>
            </w:r>
          </w:p>
        </w:tc>
        <w:tc>
          <w:tcPr>
            <w:tcW w:w="3969" w:type="dxa"/>
            <w:noWrap/>
            <w:hideMark/>
          </w:tcPr>
          <w:p w14:paraId="5DD1629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 xml:space="preserve">atgctcctctagactcgaggttattacagtggcatgttgcc </w:t>
            </w:r>
          </w:p>
        </w:tc>
      </w:tr>
      <w:tr w:rsidR="00AE654E" w:rsidRPr="008441F8" w14:paraId="2E0C3387" w14:textId="77777777" w:rsidTr="005B7F65">
        <w:trPr>
          <w:trHeight w:val="300"/>
        </w:trPr>
        <w:tc>
          <w:tcPr>
            <w:tcW w:w="1271" w:type="dxa"/>
            <w:noWrap/>
            <w:hideMark/>
          </w:tcPr>
          <w:p w14:paraId="0C33891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TS-036</w:t>
            </w:r>
          </w:p>
        </w:tc>
        <w:tc>
          <w:tcPr>
            <w:tcW w:w="3686" w:type="dxa"/>
            <w:noWrap/>
            <w:hideMark/>
          </w:tcPr>
          <w:p w14:paraId="301F349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Cg accBCD1 in pMO_RiboJ-bcd</w:t>
            </w:r>
          </w:p>
        </w:tc>
        <w:tc>
          <w:tcPr>
            <w:tcW w:w="3969" w:type="dxa"/>
            <w:noWrap/>
            <w:hideMark/>
          </w:tcPr>
          <w:p w14:paraId="38303FC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tgctaaggaggttttctaatgtcagtcgagactagg</w:t>
            </w:r>
          </w:p>
        </w:tc>
      </w:tr>
      <w:tr w:rsidR="00AE654E" w:rsidRPr="008441F8" w14:paraId="52109F08" w14:textId="77777777" w:rsidTr="005B7F65">
        <w:trPr>
          <w:trHeight w:val="300"/>
        </w:trPr>
        <w:tc>
          <w:tcPr>
            <w:tcW w:w="1271" w:type="dxa"/>
            <w:noWrap/>
            <w:hideMark/>
          </w:tcPr>
          <w:p w14:paraId="2521814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TS-037</w:t>
            </w:r>
          </w:p>
        </w:tc>
        <w:tc>
          <w:tcPr>
            <w:tcW w:w="3686" w:type="dxa"/>
            <w:noWrap/>
            <w:hideMark/>
          </w:tcPr>
          <w:p w14:paraId="11698CB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Cg accBCD1 in pMO_RiboJ-bcd</w:t>
            </w:r>
          </w:p>
        </w:tc>
        <w:tc>
          <w:tcPr>
            <w:tcW w:w="3969" w:type="dxa"/>
            <w:noWrap/>
            <w:hideMark/>
          </w:tcPr>
          <w:p w14:paraId="1946F42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gcctgcaggtcgactctagaggcttacagtggcatgttgcc</w:t>
            </w:r>
          </w:p>
        </w:tc>
      </w:tr>
      <w:tr w:rsidR="00AE654E" w:rsidRPr="008441F8" w14:paraId="510FE93E" w14:textId="77777777" w:rsidTr="005B7F65">
        <w:trPr>
          <w:trHeight w:val="300"/>
        </w:trPr>
        <w:tc>
          <w:tcPr>
            <w:tcW w:w="1271" w:type="dxa"/>
            <w:noWrap/>
            <w:hideMark/>
          </w:tcPr>
          <w:p w14:paraId="62B1D83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TS-042</w:t>
            </w:r>
          </w:p>
        </w:tc>
        <w:tc>
          <w:tcPr>
            <w:tcW w:w="3686" w:type="dxa"/>
            <w:noWrap/>
            <w:hideMark/>
          </w:tcPr>
          <w:p w14:paraId="5BC0757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GltA promoter exchange</w:t>
            </w:r>
          </w:p>
        </w:tc>
        <w:tc>
          <w:tcPr>
            <w:tcW w:w="3969" w:type="dxa"/>
            <w:noWrap/>
            <w:hideMark/>
          </w:tcPr>
          <w:p w14:paraId="01666A7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agtatagggataacagggtaatctggcgccatccagtcatagag</w:t>
            </w:r>
          </w:p>
        </w:tc>
      </w:tr>
      <w:tr w:rsidR="00AE654E" w:rsidRPr="008441F8" w14:paraId="5222C6BB" w14:textId="77777777" w:rsidTr="005B7F65">
        <w:trPr>
          <w:trHeight w:val="300"/>
        </w:trPr>
        <w:tc>
          <w:tcPr>
            <w:tcW w:w="1271" w:type="dxa"/>
            <w:noWrap/>
            <w:hideMark/>
          </w:tcPr>
          <w:p w14:paraId="6A73D35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TS-043</w:t>
            </w:r>
          </w:p>
        </w:tc>
        <w:tc>
          <w:tcPr>
            <w:tcW w:w="3686" w:type="dxa"/>
            <w:noWrap/>
            <w:hideMark/>
          </w:tcPr>
          <w:p w14:paraId="787F20B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GltA promoter exchange</w:t>
            </w:r>
          </w:p>
        </w:tc>
        <w:tc>
          <w:tcPr>
            <w:tcW w:w="3969" w:type="dxa"/>
            <w:noWrap/>
            <w:hideMark/>
          </w:tcPr>
          <w:p w14:paraId="40171F9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gtcaacctagttagctaccccgtcacgttgtc</w:t>
            </w:r>
          </w:p>
        </w:tc>
      </w:tr>
      <w:tr w:rsidR="00AE654E" w:rsidRPr="008441F8" w14:paraId="793FEACE" w14:textId="77777777" w:rsidTr="005B7F65">
        <w:trPr>
          <w:trHeight w:val="300"/>
        </w:trPr>
        <w:tc>
          <w:tcPr>
            <w:tcW w:w="1271" w:type="dxa"/>
            <w:noWrap/>
            <w:hideMark/>
          </w:tcPr>
          <w:p w14:paraId="1B2ED19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TS-044</w:t>
            </w:r>
          </w:p>
        </w:tc>
        <w:tc>
          <w:tcPr>
            <w:tcW w:w="3686" w:type="dxa"/>
            <w:noWrap/>
            <w:hideMark/>
          </w:tcPr>
          <w:p w14:paraId="6E2B900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Insert promoter 14a</w:t>
            </w:r>
          </w:p>
        </w:tc>
        <w:tc>
          <w:tcPr>
            <w:tcW w:w="3969" w:type="dxa"/>
            <w:noWrap/>
            <w:hideMark/>
          </w:tcPr>
          <w:p w14:paraId="184063C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tgacggggtagctaactaggttgacatggatataatg</w:t>
            </w:r>
          </w:p>
        </w:tc>
      </w:tr>
      <w:tr w:rsidR="00AE654E" w:rsidRPr="008441F8" w14:paraId="6FF36FA8" w14:textId="77777777" w:rsidTr="005B7F65">
        <w:trPr>
          <w:trHeight w:val="300"/>
        </w:trPr>
        <w:tc>
          <w:tcPr>
            <w:tcW w:w="1271" w:type="dxa"/>
            <w:noWrap/>
            <w:hideMark/>
          </w:tcPr>
          <w:p w14:paraId="241FDF2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TS-045</w:t>
            </w:r>
          </w:p>
        </w:tc>
        <w:tc>
          <w:tcPr>
            <w:tcW w:w="3686" w:type="dxa"/>
            <w:noWrap/>
            <w:hideMark/>
          </w:tcPr>
          <w:p w14:paraId="75C131A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Insert promoter 14a</w:t>
            </w:r>
          </w:p>
        </w:tc>
        <w:tc>
          <w:tcPr>
            <w:tcW w:w="3969" w:type="dxa"/>
            <w:noWrap/>
            <w:hideMark/>
          </w:tcPr>
          <w:p w14:paraId="0F9C083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ttttttgtcagccattagaaaacctccttagc</w:t>
            </w:r>
          </w:p>
        </w:tc>
      </w:tr>
      <w:tr w:rsidR="00AE654E" w:rsidRPr="008441F8" w14:paraId="516FD8FA" w14:textId="77777777" w:rsidTr="005B7F65">
        <w:trPr>
          <w:trHeight w:val="300"/>
        </w:trPr>
        <w:tc>
          <w:tcPr>
            <w:tcW w:w="1271" w:type="dxa"/>
            <w:noWrap/>
            <w:hideMark/>
          </w:tcPr>
          <w:p w14:paraId="690F65C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TS-046</w:t>
            </w:r>
          </w:p>
        </w:tc>
        <w:tc>
          <w:tcPr>
            <w:tcW w:w="3686" w:type="dxa"/>
            <w:noWrap/>
            <w:hideMark/>
          </w:tcPr>
          <w:p w14:paraId="0EC09D4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GltA promoter exchange</w:t>
            </w:r>
          </w:p>
        </w:tc>
        <w:tc>
          <w:tcPr>
            <w:tcW w:w="3969" w:type="dxa"/>
            <w:noWrap/>
            <w:hideMark/>
          </w:tcPr>
          <w:p w14:paraId="0E5E445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aggttttctaatggctgacaaaaaagcgcag</w:t>
            </w:r>
          </w:p>
        </w:tc>
      </w:tr>
      <w:tr w:rsidR="00AE654E" w:rsidRPr="008441F8" w14:paraId="705444C7" w14:textId="77777777" w:rsidTr="005B7F65">
        <w:trPr>
          <w:trHeight w:val="300"/>
        </w:trPr>
        <w:tc>
          <w:tcPr>
            <w:tcW w:w="1271" w:type="dxa"/>
            <w:noWrap/>
            <w:hideMark/>
          </w:tcPr>
          <w:p w14:paraId="4AE3CAD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TS-047</w:t>
            </w:r>
          </w:p>
        </w:tc>
        <w:tc>
          <w:tcPr>
            <w:tcW w:w="3686" w:type="dxa"/>
            <w:noWrap/>
            <w:hideMark/>
          </w:tcPr>
          <w:p w14:paraId="1FE9295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GltA promoter exchange</w:t>
            </w:r>
          </w:p>
        </w:tc>
        <w:tc>
          <w:tcPr>
            <w:tcW w:w="3969" w:type="dxa"/>
            <w:noWrap/>
            <w:hideMark/>
          </w:tcPr>
          <w:p w14:paraId="4EE2DD6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aagcttgcatgcctgcaggtcgacttcatgtgcaggaagttttc</w:t>
            </w:r>
          </w:p>
        </w:tc>
      </w:tr>
      <w:tr w:rsidR="00AE654E" w:rsidRPr="008441F8" w14:paraId="2FD540FC" w14:textId="77777777" w:rsidTr="005B7F65">
        <w:trPr>
          <w:trHeight w:val="300"/>
        </w:trPr>
        <w:tc>
          <w:tcPr>
            <w:tcW w:w="1271" w:type="dxa"/>
            <w:noWrap/>
            <w:hideMark/>
          </w:tcPr>
          <w:p w14:paraId="6BDF855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TS-050</w:t>
            </w:r>
          </w:p>
        </w:tc>
        <w:tc>
          <w:tcPr>
            <w:tcW w:w="3686" w:type="dxa"/>
            <w:noWrap/>
            <w:hideMark/>
          </w:tcPr>
          <w:p w14:paraId="790C69B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mega-operon</w:t>
            </w:r>
          </w:p>
        </w:tc>
        <w:tc>
          <w:tcPr>
            <w:tcW w:w="3969" w:type="dxa"/>
            <w:noWrap/>
            <w:hideMark/>
          </w:tcPr>
          <w:p w14:paraId="6C41B54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taacagggtaatctgaattccgtcgaactgagcgaagcaggac</w:t>
            </w:r>
          </w:p>
        </w:tc>
      </w:tr>
      <w:tr w:rsidR="00AE654E" w:rsidRPr="008441F8" w14:paraId="30AFAF75" w14:textId="77777777" w:rsidTr="005B7F65">
        <w:trPr>
          <w:trHeight w:val="300"/>
        </w:trPr>
        <w:tc>
          <w:tcPr>
            <w:tcW w:w="1271" w:type="dxa"/>
            <w:noWrap/>
            <w:hideMark/>
          </w:tcPr>
          <w:p w14:paraId="232AE0A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TS-051</w:t>
            </w:r>
          </w:p>
        </w:tc>
        <w:tc>
          <w:tcPr>
            <w:tcW w:w="3686" w:type="dxa"/>
            <w:noWrap/>
            <w:hideMark/>
          </w:tcPr>
          <w:p w14:paraId="3EFA6AF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mega operon</w:t>
            </w:r>
          </w:p>
        </w:tc>
        <w:tc>
          <w:tcPr>
            <w:tcW w:w="3969" w:type="dxa"/>
            <w:noWrap/>
            <w:hideMark/>
          </w:tcPr>
          <w:p w14:paraId="27E5A9C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caacactatcccaagcgccggcgatccg</w:t>
            </w:r>
          </w:p>
        </w:tc>
      </w:tr>
      <w:tr w:rsidR="00AE654E" w:rsidRPr="008441F8" w14:paraId="69F79C37" w14:textId="77777777" w:rsidTr="005B7F65">
        <w:trPr>
          <w:trHeight w:val="300"/>
        </w:trPr>
        <w:tc>
          <w:tcPr>
            <w:tcW w:w="1271" w:type="dxa"/>
            <w:noWrap/>
            <w:hideMark/>
          </w:tcPr>
          <w:p w14:paraId="5EEAE5C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TS-052</w:t>
            </w:r>
          </w:p>
        </w:tc>
        <w:tc>
          <w:tcPr>
            <w:tcW w:w="3686" w:type="dxa"/>
            <w:noWrap/>
            <w:hideMark/>
          </w:tcPr>
          <w:p w14:paraId="747D1D8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mega operon</w:t>
            </w:r>
          </w:p>
        </w:tc>
        <w:tc>
          <w:tcPr>
            <w:tcW w:w="3969" w:type="dxa"/>
            <w:noWrap/>
            <w:hideMark/>
          </w:tcPr>
          <w:p w14:paraId="7EE31DB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cggcgcttgggatagtgttgactttccgccc</w:t>
            </w:r>
          </w:p>
        </w:tc>
      </w:tr>
      <w:tr w:rsidR="00AE654E" w:rsidRPr="008441F8" w14:paraId="761D1D43" w14:textId="77777777" w:rsidTr="005B7F65">
        <w:trPr>
          <w:trHeight w:val="300"/>
        </w:trPr>
        <w:tc>
          <w:tcPr>
            <w:tcW w:w="1271" w:type="dxa"/>
            <w:noWrap/>
            <w:hideMark/>
          </w:tcPr>
          <w:p w14:paraId="5B30E6B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TS-053</w:t>
            </w:r>
          </w:p>
        </w:tc>
        <w:tc>
          <w:tcPr>
            <w:tcW w:w="3686" w:type="dxa"/>
            <w:noWrap/>
            <w:hideMark/>
          </w:tcPr>
          <w:p w14:paraId="7E10A4B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mega operon</w:t>
            </w:r>
          </w:p>
        </w:tc>
        <w:tc>
          <w:tcPr>
            <w:tcW w:w="3969" w:type="dxa"/>
            <w:noWrap/>
            <w:hideMark/>
          </w:tcPr>
          <w:p w14:paraId="5F8B17C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gcctgcaggtcgactctagagcgcgagaaactgtcgcaatc</w:t>
            </w:r>
          </w:p>
        </w:tc>
      </w:tr>
      <w:tr w:rsidR="00AE654E" w:rsidRPr="008441F8" w14:paraId="72147CF2" w14:textId="77777777" w:rsidTr="005B7F65">
        <w:trPr>
          <w:trHeight w:val="300"/>
        </w:trPr>
        <w:tc>
          <w:tcPr>
            <w:tcW w:w="1271" w:type="dxa"/>
            <w:noWrap/>
            <w:hideMark/>
          </w:tcPr>
          <w:p w14:paraId="55F894F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TS-067</w:t>
            </w:r>
          </w:p>
        </w:tc>
        <w:tc>
          <w:tcPr>
            <w:tcW w:w="3686" w:type="dxa"/>
            <w:noWrap/>
            <w:hideMark/>
          </w:tcPr>
          <w:p w14:paraId="3C77AAD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PVLB_02920 - TetR</w:t>
            </w:r>
          </w:p>
        </w:tc>
        <w:tc>
          <w:tcPr>
            <w:tcW w:w="3969" w:type="dxa"/>
            <w:noWrap/>
            <w:hideMark/>
          </w:tcPr>
          <w:p w14:paraId="55E29FA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taacagggtaatctgaattcaaccagttatccacagcatcgcgcg</w:t>
            </w:r>
          </w:p>
        </w:tc>
      </w:tr>
      <w:tr w:rsidR="00AE654E" w:rsidRPr="008441F8" w14:paraId="2DAF82A9" w14:textId="77777777" w:rsidTr="005B7F65">
        <w:trPr>
          <w:trHeight w:val="300"/>
        </w:trPr>
        <w:tc>
          <w:tcPr>
            <w:tcW w:w="1271" w:type="dxa"/>
            <w:noWrap/>
            <w:hideMark/>
          </w:tcPr>
          <w:p w14:paraId="170A4C9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TS-068</w:t>
            </w:r>
          </w:p>
        </w:tc>
        <w:tc>
          <w:tcPr>
            <w:tcW w:w="3686" w:type="dxa"/>
            <w:noWrap/>
            <w:hideMark/>
          </w:tcPr>
          <w:p w14:paraId="012946A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PVLB_02920 - TetR</w:t>
            </w:r>
          </w:p>
        </w:tc>
        <w:tc>
          <w:tcPr>
            <w:tcW w:w="3969" w:type="dxa"/>
            <w:noWrap/>
            <w:hideMark/>
          </w:tcPr>
          <w:p w14:paraId="2788299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agtgagctgatcggctggctgcagcggc</w:t>
            </w:r>
          </w:p>
        </w:tc>
      </w:tr>
      <w:tr w:rsidR="00AE654E" w:rsidRPr="008441F8" w14:paraId="3BE4C98B" w14:textId="77777777" w:rsidTr="005B7F65">
        <w:trPr>
          <w:trHeight w:val="300"/>
        </w:trPr>
        <w:tc>
          <w:tcPr>
            <w:tcW w:w="1271" w:type="dxa"/>
            <w:noWrap/>
            <w:hideMark/>
          </w:tcPr>
          <w:p w14:paraId="41344A5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TS-069</w:t>
            </w:r>
          </w:p>
        </w:tc>
        <w:tc>
          <w:tcPr>
            <w:tcW w:w="3686" w:type="dxa"/>
            <w:noWrap/>
            <w:hideMark/>
          </w:tcPr>
          <w:p w14:paraId="0E151C5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PVLB_02920 - TetR</w:t>
            </w:r>
          </w:p>
        </w:tc>
        <w:tc>
          <w:tcPr>
            <w:tcW w:w="3969" w:type="dxa"/>
            <w:noWrap/>
            <w:hideMark/>
          </w:tcPr>
          <w:p w14:paraId="5AEC722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 xml:space="preserve">agccagccgatcagctcactcggctgag  </w:t>
            </w:r>
          </w:p>
        </w:tc>
      </w:tr>
      <w:tr w:rsidR="00AE654E" w:rsidRPr="008441F8" w14:paraId="753064EC" w14:textId="77777777" w:rsidTr="005B7F65">
        <w:trPr>
          <w:trHeight w:val="300"/>
        </w:trPr>
        <w:tc>
          <w:tcPr>
            <w:tcW w:w="1271" w:type="dxa"/>
            <w:noWrap/>
            <w:hideMark/>
          </w:tcPr>
          <w:p w14:paraId="53149EE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TS-070</w:t>
            </w:r>
          </w:p>
        </w:tc>
        <w:tc>
          <w:tcPr>
            <w:tcW w:w="3686" w:type="dxa"/>
            <w:noWrap/>
            <w:hideMark/>
          </w:tcPr>
          <w:p w14:paraId="591FFF3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PVLB_02920 - TetR</w:t>
            </w:r>
          </w:p>
        </w:tc>
        <w:tc>
          <w:tcPr>
            <w:tcW w:w="3969" w:type="dxa"/>
            <w:noWrap/>
            <w:hideMark/>
          </w:tcPr>
          <w:p w14:paraId="3B8EED3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gcctgcaggtcgactctagatcagctttccgtcatctcc</w:t>
            </w:r>
          </w:p>
        </w:tc>
      </w:tr>
      <w:tr w:rsidR="00AE654E" w:rsidRPr="008441F8" w14:paraId="4FCFD93C" w14:textId="77777777" w:rsidTr="005B7F65">
        <w:trPr>
          <w:trHeight w:val="300"/>
        </w:trPr>
        <w:tc>
          <w:tcPr>
            <w:tcW w:w="1271" w:type="dxa"/>
            <w:noWrap/>
            <w:hideMark/>
          </w:tcPr>
          <w:p w14:paraId="5C9CA62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TS-091</w:t>
            </w:r>
          </w:p>
        </w:tc>
        <w:tc>
          <w:tcPr>
            <w:tcW w:w="3686" w:type="dxa"/>
            <w:noWrap/>
            <w:hideMark/>
          </w:tcPr>
          <w:p w14:paraId="009FCA5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PVLB_08385 - PrpC</w:t>
            </w:r>
          </w:p>
        </w:tc>
        <w:tc>
          <w:tcPr>
            <w:tcW w:w="3969" w:type="dxa"/>
            <w:noWrap/>
            <w:hideMark/>
          </w:tcPr>
          <w:p w14:paraId="0D21413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taacagggtaatctgaattcctggatgacgtgttgacc</w:t>
            </w:r>
          </w:p>
        </w:tc>
      </w:tr>
      <w:tr w:rsidR="00AE654E" w:rsidRPr="008441F8" w14:paraId="2664EB66" w14:textId="77777777" w:rsidTr="005B7F65">
        <w:trPr>
          <w:trHeight w:val="300"/>
        </w:trPr>
        <w:tc>
          <w:tcPr>
            <w:tcW w:w="1271" w:type="dxa"/>
            <w:noWrap/>
            <w:hideMark/>
          </w:tcPr>
          <w:p w14:paraId="73CDBA9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TS-092</w:t>
            </w:r>
          </w:p>
        </w:tc>
        <w:tc>
          <w:tcPr>
            <w:tcW w:w="3686" w:type="dxa"/>
            <w:noWrap/>
            <w:hideMark/>
          </w:tcPr>
          <w:p w14:paraId="367CD2B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PVLB_08385 - PrpC</w:t>
            </w:r>
          </w:p>
        </w:tc>
        <w:tc>
          <w:tcPr>
            <w:tcW w:w="3969" w:type="dxa"/>
            <w:noWrap/>
            <w:hideMark/>
          </w:tcPr>
          <w:p w14:paraId="6DAD24A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tcttccacgaggtttttctcctttcttgaaattg</w:t>
            </w:r>
          </w:p>
        </w:tc>
      </w:tr>
      <w:tr w:rsidR="00AE654E" w:rsidRPr="008441F8" w14:paraId="075BE415" w14:textId="77777777" w:rsidTr="005B7F65">
        <w:trPr>
          <w:trHeight w:val="300"/>
        </w:trPr>
        <w:tc>
          <w:tcPr>
            <w:tcW w:w="1271" w:type="dxa"/>
            <w:noWrap/>
            <w:hideMark/>
          </w:tcPr>
          <w:p w14:paraId="08A766E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TS-093</w:t>
            </w:r>
          </w:p>
        </w:tc>
        <w:tc>
          <w:tcPr>
            <w:tcW w:w="3686" w:type="dxa"/>
            <w:noWrap/>
            <w:hideMark/>
          </w:tcPr>
          <w:p w14:paraId="19242E6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PVLB_08385 - PrpC</w:t>
            </w:r>
          </w:p>
        </w:tc>
        <w:tc>
          <w:tcPr>
            <w:tcW w:w="3969" w:type="dxa"/>
            <w:noWrap/>
            <w:hideMark/>
          </w:tcPr>
          <w:p w14:paraId="1C15B20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gagaaaaacctcgtggaagacgccgggg</w:t>
            </w:r>
          </w:p>
        </w:tc>
      </w:tr>
      <w:tr w:rsidR="00AE654E" w:rsidRPr="008441F8" w14:paraId="523E139E" w14:textId="77777777" w:rsidTr="005B7F65">
        <w:trPr>
          <w:trHeight w:val="300"/>
        </w:trPr>
        <w:tc>
          <w:tcPr>
            <w:tcW w:w="1271" w:type="dxa"/>
            <w:noWrap/>
            <w:hideMark/>
          </w:tcPr>
          <w:p w14:paraId="6B49A0D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TS-094</w:t>
            </w:r>
          </w:p>
        </w:tc>
        <w:tc>
          <w:tcPr>
            <w:tcW w:w="3686" w:type="dxa"/>
            <w:noWrap/>
            <w:hideMark/>
          </w:tcPr>
          <w:p w14:paraId="02AB4BB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PVLB_08385 - PrpC</w:t>
            </w:r>
          </w:p>
        </w:tc>
        <w:tc>
          <w:tcPr>
            <w:tcW w:w="3969" w:type="dxa"/>
            <w:noWrap/>
            <w:hideMark/>
          </w:tcPr>
          <w:p w14:paraId="0083902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gcctgcaggtcgactctagacgacgatctccggcaggc</w:t>
            </w:r>
          </w:p>
        </w:tc>
      </w:tr>
      <w:tr w:rsidR="00AE654E" w:rsidRPr="008441F8" w14:paraId="4E35603B" w14:textId="77777777" w:rsidTr="005B7F65">
        <w:trPr>
          <w:trHeight w:val="300"/>
        </w:trPr>
        <w:tc>
          <w:tcPr>
            <w:tcW w:w="1271" w:type="dxa"/>
            <w:noWrap/>
            <w:hideMark/>
          </w:tcPr>
          <w:p w14:paraId="3283710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TS-097</w:t>
            </w:r>
          </w:p>
        </w:tc>
        <w:tc>
          <w:tcPr>
            <w:tcW w:w="3686" w:type="dxa"/>
            <w:noWrap/>
            <w:hideMark/>
          </w:tcPr>
          <w:p w14:paraId="77930D9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GltA</w:t>
            </w:r>
          </w:p>
        </w:tc>
        <w:tc>
          <w:tcPr>
            <w:tcW w:w="3969" w:type="dxa"/>
            <w:noWrap/>
            <w:hideMark/>
          </w:tcPr>
          <w:p w14:paraId="5F7CB4E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gcggacgtcgattacatcag</w:t>
            </w:r>
          </w:p>
        </w:tc>
      </w:tr>
      <w:tr w:rsidR="00AE654E" w:rsidRPr="008441F8" w14:paraId="0DF90A57" w14:textId="77777777" w:rsidTr="005B7F65">
        <w:trPr>
          <w:trHeight w:val="300"/>
        </w:trPr>
        <w:tc>
          <w:tcPr>
            <w:tcW w:w="1271" w:type="dxa"/>
            <w:noWrap/>
            <w:hideMark/>
          </w:tcPr>
          <w:p w14:paraId="70B98E7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TS-098</w:t>
            </w:r>
          </w:p>
        </w:tc>
        <w:tc>
          <w:tcPr>
            <w:tcW w:w="3686" w:type="dxa"/>
            <w:noWrap/>
            <w:hideMark/>
          </w:tcPr>
          <w:p w14:paraId="199CA0E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 xml:space="preserve">fwd TS2 GltA </w:t>
            </w:r>
          </w:p>
        </w:tc>
        <w:tc>
          <w:tcPr>
            <w:tcW w:w="3969" w:type="dxa"/>
            <w:noWrap/>
            <w:hideMark/>
          </w:tcPr>
          <w:p w14:paraId="28D4FCF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ctgatgtaatcgacgtccgctaagcccctggccgaacg</w:t>
            </w:r>
          </w:p>
        </w:tc>
      </w:tr>
      <w:tr w:rsidR="00AE654E" w:rsidRPr="008441F8" w14:paraId="251FF6E7" w14:textId="77777777" w:rsidTr="005B7F65">
        <w:trPr>
          <w:trHeight w:val="300"/>
        </w:trPr>
        <w:tc>
          <w:tcPr>
            <w:tcW w:w="1271" w:type="dxa"/>
            <w:noWrap/>
            <w:hideMark/>
          </w:tcPr>
          <w:p w14:paraId="260E5C1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TS-099</w:t>
            </w:r>
          </w:p>
        </w:tc>
        <w:tc>
          <w:tcPr>
            <w:tcW w:w="3686" w:type="dxa"/>
            <w:noWrap/>
            <w:hideMark/>
          </w:tcPr>
          <w:p w14:paraId="0FEF7F7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 xml:space="preserve">rev TS2 GltA </w:t>
            </w:r>
          </w:p>
        </w:tc>
        <w:tc>
          <w:tcPr>
            <w:tcW w:w="3969" w:type="dxa"/>
            <w:noWrap/>
            <w:hideMark/>
          </w:tcPr>
          <w:p w14:paraId="71FA29B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tgcatgcctgcaggtcgactggtatgtgggcagagtcgtg</w:t>
            </w:r>
          </w:p>
        </w:tc>
      </w:tr>
      <w:tr w:rsidR="00AE654E" w:rsidRPr="008441F8" w14:paraId="15827035" w14:textId="77777777" w:rsidTr="005B7F65">
        <w:trPr>
          <w:trHeight w:val="300"/>
        </w:trPr>
        <w:tc>
          <w:tcPr>
            <w:tcW w:w="1271" w:type="dxa"/>
            <w:noWrap/>
            <w:hideMark/>
          </w:tcPr>
          <w:p w14:paraId="564FBB1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TS-101</w:t>
            </w:r>
          </w:p>
        </w:tc>
        <w:tc>
          <w:tcPr>
            <w:tcW w:w="3686" w:type="dxa"/>
            <w:noWrap/>
            <w:hideMark/>
          </w:tcPr>
          <w:p w14:paraId="4BC8F33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GltA-PrpC exchange</w:t>
            </w:r>
          </w:p>
        </w:tc>
        <w:tc>
          <w:tcPr>
            <w:tcW w:w="3969" w:type="dxa"/>
            <w:noWrap/>
            <w:hideMark/>
          </w:tcPr>
          <w:p w14:paraId="77265B1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gaccagcgctgataagcccctggccgaacg</w:t>
            </w:r>
          </w:p>
        </w:tc>
      </w:tr>
      <w:tr w:rsidR="00AE654E" w:rsidRPr="008441F8" w14:paraId="22A71BB2" w14:textId="77777777" w:rsidTr="005B7F65">
        <w:trPr>
          <w:trHeight w:val="300"/>
        </w:trPr>
        <w:tc>
          <w:tcPr>
            <w:tcW w:w="1271" w:type="dxa"/>
            <w:noWrap/>
            <w:hideMark/>
          </w:tcPr>
          <w:p w14:paraId="481760B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lastRenderedPageBreak/>
              <w:t>TS-102</w:t>
            </w:r>
          </w:p>
        </w:tc>
        <w:tc>
          <w:tcPr>
            <w:tcW w:w="3686" w:type="dxa"/>
            <w:noWrap/>
            <w:hideMark/>
          </w:tcPr>
          <w:p w14:paraId="43E646E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PrpC Insert PVLB_08385 with native RBS</w:t>
            </w:r>
          </w:p>
        </w:tc>
        <w:tc>
          <w:tcPr>
            <w:tcW w:w="3969" w:type="dxa"/>
            <w:noWrap/>
            <w:hideMark/>
          </w:tcPr>
          <w:p w14:paraId="743B513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tggtcctgatgtaatcgacgtccgctaacaatttcaagaaaggagaaaaaccatggc</w:t>
            </w:r>
          </w:p>
        </w:tc>
      </w:tr>
      <w:tr w:rsidR="00AE654E" w:rsidRPr="008441F8" w14:paraId="3151A92F" w14:textId="77777777" w:rsidTr="005B7F65">
        <w:trPr>
          <w:trHeight w:val="300"/>
        </w:trPr>
        <w:tc>
          <w:tcPr>
            <w:tcW w:w="1271" w:type="dxa"/>
            <w:noWrap/>
            <w:hideMark/>
          </w:tcPr>
          <w:p w14:paraId="7FDE536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TS-103</w:t>
            </w:r>
          </w:p>
        </w:tc>
        <w:tc>
          <w:tcPr>
            <w:tcW w:w="3686" w:type="dxa"/>
            <w:noWrap/>
            <w:hideMark/>
          </w:tcPr>
          <w:p w14:paraId="0F328B2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PrpC Insert PVLB_08385</w:t>
            </w:r>
          </w:p>
        </w:tc>
        <w:tc>
          <w:tcPr>
            <w:tcW w:w="3969" w:type="dxa"/>
            <w:noWrap/>
            <w:hideMark/>
          </w:tcPr>
          <w:p w14:paraId="2111575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ggccaggggcttatcagcgctggtcgatcgg</w:t>
            </w:r>
          </w:p>
        </w:tc>
      </w:tr>
      <w:tr w:rsidR="00AE654E" w:rsidRPr="008441F8" w14:paraId="38259C08" w14:textId="77777777" w:rsidTr="005B7F65">
        <w:trPr>
          <w:trHeight w:val="300"/>
        </w:trPr>
        <w:tc>
          <w:tcPr>
            <w:tcW w:w="1271" w:type="dxa"/>
            <w:noWrap/>
            <w:hideMark/>
          </w:tcPr>
          <w:p w14:paraId="24D4497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TS-106</w:t>
            </w:r>
          </w:p>
        </w:tc>
        <w:tc>
          <w:tcPr>
            <w:tcW w:w="3686" w:type="dxa"/>
            <w:noWrap/>
            <w:hideMark/>
          </w:tcPr>
          <w:p w14:paraId="7F13287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BB pBGxx amplification</w:t>
            </w:r>
          </w:p>
        </w:tc>
        <w:tc>
          <w:tcPr>
            <w:tcW w:w="3969" w:type="dxa"/>
            <w:noWrap/>
            <w:hideMark/>
          </w:tcPr>
          <w:p w14:paraId="1D03DC4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taaagaattcgagctcggtaccc</w:t>
            </w:r>
          </w:p>
        </w:tc>
      </w:tr>
      <w:tr w:rsidR="00AE654E" w:rsidRPr="008441F8" w14:paraId="156C3D6F" w14:textId="77777777" w:rsidTr="005B7F65">
        <w:trPr>
          <w:trHeight w:val="300"/>
        </w:trPr>
        <w:tc>
          <w:tcPr>
            <w:tcW w:w="1271" w:type="dxa"/>
            <w:noWrap/>
            <w:hideMark/>
          </w:tcPr>
          <w:p w14:paraId="15DFA06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TS-109</w:t>
            </w:r>
          </w:p>
        </w:tc>
        <w:tc>
          <w:tcPr>
            <w:tcW w:w="3686" w:type="dxa"/>
            <w:noWrap/>
            <w:hideMark/>
          </w:tcPr>
          <w:p w14:paraId="3F19131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on pBGxx BB to insert</w:t>
            </w:r>
          </w:p>
        </w:tc>
        <w:tc>
          <w:tcPr>
            <w:tcW w:w="3969" w:type="dxa"/>
            <w:noWrap/>
            <w:hideMark/>
          </w:tcPr>
          <w:p w14:paraId="3FFE2F6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tgcccgtcgtattaaagagg</w:t>
            </w:r>
          </w:p>
        </w:tc>
      </w:tr>
      <w:tr w:rsidR="00AE654E" w:rsidRPr="008441F8" w14:paraId="5AE99DEF" w14:textId="77777777" w:rsidTr="005B7F65">
        <w:trPr>
          <w:trHeight w:val="300"/>
        </w:trPr>
        <w:tc>
          <w:tcPr>
            <w:tcW w:w="1271" w:type="dxa"/>
            <w:noWrap/>
            <w:hideMark/>
          </w:tcPr>
          <w:p w14:paraId="747D90B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TS-135</w:t>
            </w:r>
          </w:p>
        </w:tc>
        <w:tc>
          <w:tcPr>
            <w:tcW w:w="3686" w:type="dxa"/>
            <w:noWrap/>
            <w:hideMark/>
          </w:tcPr>
          <w:p w14:paraId="1025513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pycAB (PVLB_25325-25330)</w:t>
            </w:r>
          </w:p>
        </w:tc>
        <w:tc>
          <w:tcPr>
            <w:tcW w:w="3969" w:type="dxa"/>
            <w:noWrap/>
            <w:hideMark/>
          </w:tcPr>
          <w:p w14:paraId="02AA50C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taacagggtaatctgaattccttacggacccttcaccg</w:t>
            </w:r>
          </w:p>
        </w:tc>
      </w:tr>
      <w:tr w:rsidR="00AE654E" w:rsidRPr="008441F8" w14:paraId="7856872E" w14:textId="77777777" w:rsidTr="005B7F65">
        <w:trPr>
          <w:trHeight w:val="300"/>
        </w:trPr>
        <w:tc>
          <w:tcPr>
            <w:tcW w:w="1271" w:type="dxa"/>
            <w:noWrap/>
            <w:hideMark/>
          </w:tcPr>
          <w:p w14:paraId="4F5CCA2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TS-136</w:t>
            </w:r>
          </w:p>
        </w:tc>
        <w:tc>
          <w:tcPr>
            <w:tcW w:w="3686" w:type="dxa"/>
            <w:noWrap/>
            <w:hideMark/>
          </w:tcPr>
          <w:p w14:paraId="35C3C2A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pycAB (PVLB_25325-25330)</w:t>
            </w:r>
          </w:p>
        </w:tc>
        <w:tc>
          <w:tcPr>
            <w:tcW w:w="3969" w:type="dxa"/>
            <w:noWrap/>
            <w:hideMark/>
          </w:tcPr>
          <w:p w14:paraId="320EAED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gaagactccagatacgccctcatctacaag</w:t>
            </w:r>
          </w:p>
        </w:tc>
      </w:tr>
      <w:tr w:rsidR="00AE654E" w:rsidRPr="008441F8" w14:paraId="73CA48A1" w14:textId="77777777" w:rsidTr="005B7F65">
        <w:trPr>
          <w:trHeight w:val="300"/>
        </w:trPr>
        <w:tc>
          <w:tcPr>
            <w:tcW w:w="1271" w:type="dxa"/>
            <w:noWrap/>
            <w:hideMark/>
          </w:tcPr>
          <w:p w14:paraId="2A8CF37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TS-137</w:t>
            </w:r>
          </w:p>
        </w:tc>
        <w:tc>
          <w:tcPr>
            <w:tcW w:w="3686" w:type="dxa"/>
            <w:noWrap/>
            <w:hideMark/>
          </w:tcPr>
          <w:p w14:paraId="7C63CFB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pycAB (PVLB_25325-25330)</w:t>
            </w:r>
          </w:p>
        </w:tc>
        <w:tc>
          <w:tcPr>
            <w:tcW w:w="3969" w:type="dxa"/>
            <w:noWrap/>
            <w:hideMark/>
          </w:tcPr>
          <w:p w14:paraId="1C25DE3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agggcgtatctggagtcttcccaaagccgtag</w:t>
            </w:r>
          </w:p>
        </w:tc>
      </w:tr>
      <w:tr w:rsidR="00AE654E" w:rsidRPr="008441F8" w14:paraId="6C61D3F6" w14:textId="77777777" w:rsidTr="005B7F65">
        <w:trPr>
          <w:trHeight w:val="300"/>
        </w:trPr>
        <w:tc>
          <w:tcPr>
            <w:tcW w:w="1271" w:type="dxa"/>
            <w:noWrap/>
            <w:hideMark/>
          </w:tcPr>
          <w:p w14:paraId="32513D3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TS-138</w:t>
            </w:r>
          </w:p>
        </w:tc>
        <w:tc>
          <w:tcPr>
            <w:tcW w:w="3686" w:type="dxa"/>
            <w:noWrap/>
            <w:hideMark/>
          </w:tcPr>
          <w:p w14:paraId="71A6B3E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pycAB (PVLB_25325-25330)</w:t>
            </w:r>
          </w:p>
        </w:tc>
        <w:tc>
          <w:tcPr>
            <w:tcW w:w="3969" w:type="dxa"/>
            <w:noWrap/>
            <w:hideMark/>
          </w:tcPr>
          <w:p w14:paraId="2350C35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gcctgcaggtcgactctagactgggcgcggttgaccac</w:t>
            </w:r>
          </w:p>
        </w:tc>
      </w:tr>
      <w:tr w:rsidR="00AE654E" w:rsidRPr="008441F8" w14:paraId="45237A28" w14:textId="77777777" w:rsidTr="005B7F65">
        <w:trPr>
          <w:trHeight w:val="300"/>
        </w:trPr>
        <w:tc>
          <w:tcPr>
            <w:tcW w:w="1271" w:type="dxa"/>
            <w:noWrap/>
            <w:hideMark/>
          </w:tcPr>
          <w:p w14:paraId="000D86E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TS-163</w:t>
            </w:r>
          </w:p>
        </w:tc>
        <w:tc>
          <w:tcPr>
            <w:tcW w:w="3686" w:type="dxa"/>
            <w:noWrap/>
            <w:hideMark/>
          </w:tcPr>
          <w:p w14:paraId="21FCC2D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fabF (PVLB_07185)</w:t>
            </w:r>
          </w:p>
        </w:tc>
        <w:tc>
          <w:tcPr>
            <w:tcW w:w="3969" w:type="dxa"/>
            <w:noWrap/>
            <w:hideMark/>
          </w:tcPr>
          <w:p w14:paraId="78CBFFD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taacagggtaatctgaattccgctactgtgccggtgaac</w:t>
            </w:r>
          </w:p>
        </w:tc>
      </w:tr>
      <w:tr w:rsidR="00AE654E" w:rsidRPr="008441F8" w14:paraId="78AFB968" w14:textId="77777777" w:rsidTr="005B7F65">
        <w:trPr>
          <w:trHeight w:val="300"/>
        </w:trPr>
        <w:tc>
          <w:tcPr>
            <w:tcW w:w="1271" w:type="dxa"/>
            <w:noWrap/>
            <w:hideMark/>
          </w:tcPr>
          <w:p w14:paraId="7D12254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TS-164</w:t>
            </w:r>
          </w:p>
        </w:tc>
        <w:tc>
          <w:tcPr>
            <w:tcW w:w="3686" w:type="dxa"/>
            <w:noWrap/>
            <w:hideMark/>
          </w:tcPr>
          <w:p w14:paraId="3C2CD8F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fabF (PVLB_07185)</w:t>
            </w:r>
          </w:p>
        </w:tc>
        <w:tc>
          <w:tcPr>
            <w:tcW w:w="3969" w:type="dxa"/>
            <w:noWrap/>
            <w:hideMark/>
          </w:tcPr>
          <w:p w14:paraId="1F8CD40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cgttagcccaatggcaggattaagtactctccttttctaataacagagtttcttg</w:t>
            </w:r>
          </w:p>
        </w:tc>
      </w:tr>
      <w:tr w:rsidR="00AE654E" w:rsidRPr="008441F8" w14:paraId="2CE9F922" w14:textId="77777777" w:rsidTr="005B7F65">
        <w:trPr>
          <w:trHeight w:val="300"/>
        </w:trPr>
        <w:tc>
          <w:tcPr>
            <w:tcW w:w="1271" w:type="dxa"/>
            <w:noWrap/>
            <w:hideMark/>
          </w:tcPr>
          <w:p w14:paraId="0868BDF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TS-165</w:t>
            </w:r>
          </w:p>
        </w:tc>
        <w:tc>
          <w:tcPr>
            <w:tcW w:w="3686" w:type="dxa"/>
            <w:noWrap/>
            <w:hideMark/>
          </w:tcPr>
          <w:p w14:paraId="354BCDC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fabF (PVLB_07185) with barcode</w:t>
            </w:r>
          </w:p>
        </w:tc>
        <w:tc>
          <w:tcPr>
            <w:tcW w:w="3969" w:type="dxa"/>
            <w:noWrap/>
            <w:hideMark/>
          </w:tcPr>
          <w:p w14:paraId="3822DFA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taatcctgccattgggctaacgaaatggcgaataactaactgaattcatgaatatcgacgttgtactgtccaactc</w:t>
            </w:r>
          </w:p>
        </w:tc>
      </w:tr>
      <w:tr w:rsidR="00AE654E" w:rsidRPr="008441F8" w14:paraId="3199CF9D" w14:textId="77777777" w:rsidTr="005B7F65">
        <w:trPr>
          <w:trHeight w:val="300"/>
        </w:trPr>
        <w:tc>
          <w:tcPr>
            <w:tcW w:w="1271" w:type="dxa"/>
            <w:noWrap/>
            <w:hideMark/>
          </w:tcPr>
          <w:p w14:paraId="2707586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TS-166</w:t>
            </w:r>
          </w:p>
        </w:tc>
        <w:tc>
          <w:tcPr>
            <w:tcW w:w="3686" w:type="dxa"/>
            <w:noWrap/>
            <w:hideMark/>
          </w:tcPr>
          <w:p w14:paraId="5FD84DF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fabF (PVLB_07185)</w:t>
            </w:r>
          </w:p>
        </w:tc>
        <w:tc>
          <w:tcPr>
            <w:tcW w:w="3969" w:type="dxa"/>
            <w:noWrap/>
            <w:hideMark/>
          </w:tcPr>
          <w:p w14:paraId="083342E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gcctgcaggtcgactctagatgcaccgggattgccagc</w:t>
            </w:r>
          </w:p>
        </w:tc>
      </w:tr>
      <w:tr w:rsidR="00AE654E" w:rsidRPr="008441F8" w14:paraId="04D69173" w14:textId="77777777" w:rsidTr="005B7F65">
        <w:trPr>
          <w:trHeight w:val="300"/>
        </w:trPr>
        <w:tc>
          <w:tcPr>
            <w:tcW w:w="1271" w:type="dxa"/>
            <w:noWrap/>
            <w:hideMark/>
          </w:tcPr>
          <w:p w14:paraId="74BE890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TS-169</w:t>
            </w:r>
          </w:p>
        </w:tc>
        <w:tc>
          <w:tcPr>
            <w:tcW w:w="3686" w:type="dxa"/>
            <w:noWrap/>
            <w:hideMark/>
          </w:tcPr>
          <w:p w14:paraId="4C9AFCC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CsR counter selection for KO and Ex GltA (PVLB_16320)</w:t>
            </w:r>
          </w:p>
        </w:tc>
        <w:tc>
          <w:tcPr>
            <w:tcW w:w="3969" w:type="dxa"/>
            <w:noWrap/>
            <w:hideMark/>
          </w:tcPr>
          <w:p w14:paraId="70E10DA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gcgcgggtgatcttcgactcgcacg</w:t>
            </w:r>
          </w:p>
        </w:tc>
      </w:tr>
      <w:tr w:rsidR="00AE654E" w:rsidRPr="008441F8" w14:paraId="51B9BFD6" w14:textId="77777777" w:rsidTr="005B7F65">
        <w:trPr>
          <w:trHeight w:val="300"/>
        </w:trPr>
        <w:tc>
          <w:tcPr>
            <w:tcW w:w="1271" w:type="dxa"/>
            <w:noWrap/>
            <w:hideMark/>
          </w:tcPr>
          <w:p w14:paraId="369695F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TS-170</w:t>
            </w:r>
          </w:p>
        </w:tc>
        <w:tc>
          <w:tcPr>
            <w:tcW w:w="3686" w:type="dxa"/>
            <w:noWrap/>
            <w:hideMark/>
          </w:tcPr>
          <w:p w14:paraId="4A03C62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CsR counter selection for KO and Ex GltA (PVLB_16320)</w:t>
            </w:r>
          </w:p>
        </w:tc>
        <w:tc>
          <w:tcPr>
            <w:tcW w:w="3969" w:type="dxa"/>
            <w:noWrap/>
            <w:hideMark/>
          </w:tcPr>
          <w:p w14:paraId="0DD57A1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aaaccgtgcgagtcgaagatcaccc</w:t>
            </w:r>
          </w:p>
        </w:tc>
      </w:tr>
      <w:tr w:rsidR="00AE654E" w:rsidRPr="008441F8" w14:paraId="36DE5046" w14:textId="77777777" w:rsidTr="005B7F65">
        <w:trPr>
          <w:trHeight w:val="300"/>
        </w:trPr>
        <w:tc>
          <w:tcPr>
            <w:tcW w:w="1271" w:type="dxa"/>
            <w:noWrap/>
            <w:hideMark/>
          </w:tcPr>
          <w:p w14:paraId="5E015BC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TS-171</w:t>
            </w:r>
          </w:p>
        </w:tc>
        <w:tc>
          <w:tcPr>
            <w:tcW w:w="3686" w:type="dxa"/>
            <w:noWrap/>
            <w:hideMark/>
          </w:tcPr>
          <w:p w14:paraId="752A650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CsR counter selection for KO FabF (PVLB_07185)</w:t>
            </w:r>
          </w:p>
        </w:tc>
        <w:tc>
          <w:tcPr>
            <w:tcW w:w="3969" w:type="dxa"/>
            <w:noWrap/>
            <w:hideMark/>
          </w:tcPr>
          <w:p w14:paraId="76730D9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gcgcgtggcgacagcatacccatac</w:t>
            </w:r>
          </w:p>
        </w:tc>
      </w:tr>
      <w:tr w:rsidR="00AE654E" w:rsidRPr="008441F8" w14:paraId="437FA4AB" w14:textId="77777777" w:rsidTr="005B7F65">
        <w:trPr>
          <w:trHeight w:val="300"/>
        </w:trPr>
        <w:tc>
          <w:tcPr>
            <w:tcW w:w="1271" w:type="dxa"/>
            <w:noWrap/>
            <w:hideMark/>
          </w:tcPr>
          <w:p w14:paraId="09BA5A3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TS-172</w:t>
            </w:r>
          </w:p>
        </w:tc>
        <w:tc>
          <w:tcPr>
            <w:tcW w:w="3686" w:type="dxa"/>
            <w:noWrap/>
            <w:hideMark/>
          </w:tcPr>
          <w:p w14:paraId="4D246A3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CsR counter selection for KO FabF (PVLB_07185)</w:t>
            </w:r>
          </w:p>
        </w:tc>
        <w:tc>
          <w:tcPr>
            <w:tcW w:w="3969" w:type="dxa"/>
            <w:noWrap/>
            <w:hideMark/>
          </w:tcPr>
          <w:p w14:paraId="090C9A1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aaacgtatgggtatgctgtcgccac</w:t>
            </w:r>
          </w:p>
        </w:tc>
      </w:tr>
      <w:tr w:rsidR="00AE654E" w:rsidRPr="008441F8" w14:paraId="56F16872" w14:textId="77777777" w:rsidTr="005B7F65">
        <w:trPr>
          <w:trHeight w:val="300"/>
        </w:trPr>
        <w:tc>
          <w:tcPr>
            <w:tcW w:w="1271" w:type="dxa"/>
            <w:noWrap/>
            <w:hideMark/>
          </w:tcPr>
          <w:p w14:paraId="12DCFED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TS-173</w:t>
            </w:r>
          </w:p>
        </w:tc>
        <w:tc>
          <w:tcPr>
            <w:tcW w:w="3686" w:type="dxa"/>
            <w:noWrap/>
            <w:hideMark/>
          </w:tcPr>
          <w:p w14:paraId="4328C22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CsR counter selection for Point mutation FabD W258Q (PVLB_07170)</w:t>
            </w:r>
          </w:p>
        </w:tc>
        <w:tc>
          <w:tcPr>
            <w:tcW w:w="3969" w:type="dxa"/>
            <w:noWrap/>
            <w:hideMark/>
          </w:tcPr>
          <w:p w14:paraId="0DAD931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gcgcgacgcactcgacccagcgtac</w:t>
            </w:r>
          </w:p>
        </w:tc>
      </w:tr>
      <w:tr w:rsidR="00AE654E" w:rsidRPr="008441F8" w14:paraId="4402CA32" w14:textId="77777777" w:rsidTr="005B7F65">
        <w:trPr>
          <w:trHeight w:val="300"/>
        </w:trPr>
        <w:tc>
          <w:tcPr>
            <w:tcW w:w="1271" w:type="dxa"/>
            <w:noWrap/>
            <w:hideMark/>
          </w:tcPr>
          <w:p w14:paraId="0640BE0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TS-174</w:t>
            </w:r>
          </w:p>
        </w:tc>
        <w:tc>
          <w:tcPr>
            <w:tcW w:w="3686" w:type="dxa"/>
            <w:noWrap/>
            <w:hideMark/>
          </w:tcPr>
          <w:p w14:paraId="7CC5BEA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CsR counter selection for Point mutation FabD W258Q (PVLB_07170)</w:t>
            </w:r>
          </w:p>
        </w:tc>
        <w:tc>
          <w:tcPr>
            <w:tcW w:w="3969" w:type="dxa"/>
            <w:noWrap/>
            <w:hideMark/>
          </w:tcPr>
          <w:p w14:paraId="492FA61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aaacgtacgctgggtcgagtgcgtc</w:t>
            </w:r>
          </w:p>
        </w:tc>
      </w:tr>
      <w:tr w:rsidR="00AE654E" w:rsidRPr="008441F8" w14:paraId="496FE730" w14:textId="77777777" w:rsidTr="005B7F65">
        <w:trPr>
          <w:trHeight w:val="300"/>
        </w:trPr>
        <w:tc>
          <w:tcPr>
            <w:tcW w:w="1271" w:type="dxa"/>
            <w:noWrap/>
            <w:hideMark/>
          </w:tcPr>
          <w:p w14:paraId="3A13A8D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TS-187</w:t>
            </w:r>
          </w:p>
        </w:tc>
        <w:tc>
          <w:tcPr>
            <w:tcW w:w="3686" w:type="dxa"/>
            <w:noWrap/>
            <w:hideMark/>
          </w:tcPr>
          <w:p w14:paraId="1F4147A7" w14:textId="77777777" w:rsidR="00AE654E" w:rsidRPr="00B97427" w:rsidRDefault="00AE654E" w:rsidP="000165F5">
            <w:pPr>
              <w:rPr>
                <w:rFonts w:ascii="Calibri" w:eastAsia="Times New Roman" w:hAnsi="Calibri" w:cs="Calibri"/>
                <w:color w:val="000000"/>
                <w:lang w:eastAsia="de-DE"/>
              </w:rPr>
            </w:pPr>
            <w:r w:rsidRPr="00B97427">
              <w:rPr>
                <w:rFonts w:ascii="Calibri" w:eastAsia="Times New Roman" w:hAnsi="Calibri" w:cs="Calibri"/>
                <w:color w:val="000000"/>
                <w:lang w:eastAsia="de-DE"/>
              </w:rPr>
              <w:t>fwd Ins Apra in GltA KO</w:t>
            </w:r>
          </w:p>
        </w:tc>
        <w:tc>
          <w:tcPr>
            <w:tcW w:w="3969" w:type="dxa"/>
            <w:noWrap/>
            <w:hideMark/>
          </w:tcPr>
          <w:p w14:paraId="26669BB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ctgatgtaatcgacgtccgctaatttacactttatgcttccggctc</w:t>
            </w:r>
          </w:p>
        </w:tc>
      </w:tr>
      <w:tr w:rsidR="00AE654E" w:rsidRPr="008441F8" w14:paraId="386F0F19" w14:textId="77777777" w:rsidTr="005B7F65">
        <w:trPr>
          <w:trHeight w:val="300"/>
        </w:trPr>
        <w:tc>
          <w:tcPr>
            <w:tcW w:w="1271" w:type="dxa"/>
            <w:noWrap/>
            <w:hideMark/>
          </w:tcPr>
          <w:p w14:paraId="6504E90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TS-188</w:t>
            </w:r>
          </w:p>
        </w:tc>
        <w:tc>
          <w:tcPr>
            <w:tcW w:w="3686" w:type="dxa"/>
            <w:noWrap/>
            <w:hideMark/>
          </w:tcPr>
          <w:p w14:paraId="086C0A5C" w14:textId="77777777" w:rsidR="00AE654E" w:rsidRPr="00B97427" w:rsidRDefault="00AE654E" w:rsidP="000165F5">
            <w:pPr>
              <w:rPr>
                <w:rFonts w:ascii="Calibri" w:eastAsia="Times New Roman" w:hAnsi="Calibri" w:cs="Calibri"/>
                <w:color w:val="000000"/>
                <w:lang w:eastAsia="de-DE"/>
              </w:rPr>
            </w:pPr>
            <w:r w:rsidRPr="00B97427">
              <w:rPr>
                <w:rFonts w:ascii="Calibri" w:eastAsia="Times New Roman" w:hAnsi="Calibri" w:cs="Calibri"/>
                <w:color w:val="000000"/>
                <w:lang w:eastAsia="de-DE"/>
              </w:rPr>
              <w:t>rev Ins Apra in GltA KO</w:t>
            </w:r>
          </w:p>
        </w:tc>
        <w:tc>
          <w:tcPr>
            <w:tcW w:w="3969" w:type="dxa"/>
            <w:noWrap/>
            <w:hideMark/>
          </w:tcPr>
          <w:p w14:paraId="33D61EF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ttcggccaggggcttatcagccaatcgactggcg</w:t>
            </w:r>
          </w:p>
        </w:tc>
      </w:tr>
      <w:tr w:rsidR="00AE654E" w:rsidRPr="008441F8" w14:paraId="4801BAD7" w14:textId="77777777" w:rsidTr="005B7F65">
        <w:trPr>
          <w:trHeight w:val="300"/>
        </w:trPr>
        <w:tc>
          <w:tcPr>
            <w:tcW w:w="1271" w:type="dxa"/>
            <w:noWrap/>
            <w:hideMark/>
          </w:tcPr>
          <w:p w14:paraId="17A3075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TS-189</w:t>
            </w:r>
          </w:p>
        </w:tc>
        <w:tc>
          <w:tcPr>
            <w:tcW w:w="3686" w:type="dxa"/>
            <w:noWrap/>
            <w:hideMark/>
          </w:tcPr>
          <w:p w14:paraId="645DD64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KO GltA-Apra</w:t>
            </w:r>
          </w:p>
        </w:tc>
        <w:tc>
          <w:tcPr>
            <w:tcW w:w="3969" w:type="dxa"/>
            <w:noWrap/>
            <w:hideMark/>
          </w:tcPr>
          <w:p w14:paraId="7EF2E9D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ctgataagcccctggccgaacg</w:t>
            </w:r>
          </w:p>
        </w:tc>
      </w:tr>
      <w:tr w:rsidR="00AE654E" w:rsidRPr="008441F8" w14:paraId="7D8E17A8" w14:textId="77777777" w:rsidTr="005B7F65">
        <w:trPr>
          <w:trHeight w:val="300"/>
        </w:trPr>
        <w:tc>
          <w:tcPr>
            <w:tcW w:w="1271" w:type="dxa"/>
            <w:noWrap/>
            <w:hideMark/>
          </w:tcPr>
          <w:p w14:paraId="0569ACF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TS-204</w:t>
            </w:r>
          </w:p>
        </w:tc>
        <w:tc>
          <w:tcPr>
            <w:tcW w:w="3686" w:type="dxa"/>
            <w:noWrap/>
            <w:hideMark/>
          </w:tcPr>
          <w:p w14:paraId="421C3D1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OprF (PVLB_07655)</w:t>
            </w:r>
          </w:p>
        </w:tc>
        <w:tc>
          <w:tcPr>
            <w:tcW w:w="3969" w:type="dxa"/>
            <w:noWrap/>
            <w:hideMark/>
          </w:tcPr>
          <w:p w14:paraId="505F92C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agggataacagggtaatctgaattcgtgatgctgaaggtgctg</w:t>
            </w:r>
          </w:p>
        </w:tc>
      </w:tr>
      <w:tr w:rsidR="00AE654E" w:rsidRPr="008441F8" w14:paraId="3DD1C6EC" w14:textId="77777777" w:rsidTr="005B7F65">
        <w:trPr>
          <w:trHeight w:val="300"/>
        </w:trPr>
        <w:tc>
          <w:tcPr>
            <w:tcW w:w="1271" w:type="dxa"/>
            <w:noWrap/>
            <w:hideMark/>
          </w:tcPr>
          <w:p w14:paraId="4F2E798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TS-205</w:t>
            </w:r>
          </w:p>
        </w:tc>
        <w:tc>
          <w:tcPr>
            <w:tcW w:w="3686" w:type="dxa"/>
            <w:noWrap/>
            <w:hideMark/>
          </w:tcPr>
          <w:p w14:paraId="44F9D0E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OprF (PVLB_07655)</w:t>
            </w:r>
          </w:p>
        </w:tc>
        <w:tc>
          <w:tcPr>
            <w:tcW w:w="3969" w:type="dxa"/>
            <w:noWrap/>
            <w:hideMark/>
          </w:tcPr>
          <w:p w14:paraId="3ECF9D4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aaaccaattaccgttaaatccccatctg</w:t>
            </w:r>
          </w:p>
        </w:tc>
      </w:tr>
      <w:tr w:rsidR="00AE654E" w:rsidRPr="008441F8" w14:paraId="71E0398D" w14:textId="77777777" w:rsidTr="005B7F65">
        <w:trPr>
          <w:trHeight w:val="300"/>
        </w:trPr>
        <w:tc>
          <w:tcPr>
            <w:tcW w:w="1271" w:type="dxa"/>
            <w:noWrap/>
            <w:hideMark/>
          </w:tcPr>
          <w:p w14:paraId="33C9179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TS-206</w:t>
            </w:r>
          </w:p>
        </w:tc>
        <w:tc>
          <w:tcPr>
            <w:tcW w:w="3686" w:type="dxa"/>
            <w:noWrap/>
            <w:hideMark/>
          </w:tcPr>
          <w:p w14:paraId="4499C24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OprF (PVLB_07655)</w:t>
            </w:r>
          </w:p>
        </w:tc>
        <w:tc>
          <w:tcPr>
            <w:tcW w:w="3969" w:type="dxa"/>
            <w:noWrap/>
            <w:hideMark/>
          </w:tcPr>
          <w:p w14:paraId="59BE3AB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gatttaacggtaattggtttgacgtttcatg</w:t>
            </w:r>
          </w:p>
        </w:tc>
      </w:tr>
      <w:tr w:rsidR="00AE654E" w:rsidRPr="008441F8" w14:paraId="2C154ED9" w14:textId="77777777" w:rsidTr="005B7F65">
        <w:trPr>
          <w:trHeight w:val="300"/>
        </w:trPr>
        <w:tc>
          <w:tcPr>
            <w:tcW w:w="1271" w:type="dxa"/>
            <w:noWrap/>
            <w:hideMark/>
          </w:tcPr>
          <w:p w14:paraId="420CCEB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TS-207</w:t>
            </w:r>
          </w:p>
        </w:tc>
        <w:tc>
          <w:tcPr>
            <w:tcW w:w="3686" w:type="dxa"/>
            <w:noWrap/>
            <w:hideMark/>
          </w:tcPr>
          <w:p w14:paraId="0062D29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OprF (PVLB_07655)</w:t>
            </w:r>
          </w:p>
        </w:tc>
        <w:tc>
          <w:tcPr>
            <w:tcW w:w="3969" w:type="dxa"/>
            <w:noWrap/>
            <w:hideMark/>
          </w:tcPr>
          <w:p w14:paraId="6A35C6B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tgcatgcctgcaggtcgactctagaggtagtcaacggcatcac</w:t>
            </w:r>
          </w:p>
        </w:tc>
      </w:tr>
      <w:tr w:rsidR="00AE654E" w:rsidRPr="008441F8" w14:paraId="2C96FB33" w14:textId="77777777" w:rsidTr="005B7F65">
        <w:trPr>
          <w:trHeight w:val="300"/>
        </w:trPr>
        <w:tc>
          <w:tcPr>
            <w:tcW w:w="1271" w:type="dxa"/>
            <w:noWrap/>
            <w:hideMark/>
          </w:tcPr>
          <w:p w14:paraId="487EA01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TS-210</w:t>
            </w:r>
          </w:p>
        </w:tc>
        <w:tc>
          <w:tcPr>
            <w:tcW w:w="3686" w:type="dxa"/>
            <w:noWrap/>
            <w:hideMark/>
          </w:tcPr>
          <w:p w14:paraId="3CCF7FB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PVLB_18090 (FabH1)</w:t>
            </w:r>
          </w:p>
        </w:tc>
        <w:tc>
          <w:tcPr>
            <w:tcW w:w="3969" w:type="dxa"/>
            <w:noWrap/>
            <w:hideMark/>
          </w:tcPr>
          <w:p w14:paraId="7F63A3F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agggataacagggtaatctgcagatcgactttaccggc</w:t>
            </w:r>
          </w:p>
        </w:tc>
      </w:tr>
      <w:tr w:rsidR="00AE654E" w:rsidRPr="008441F8" w14:paraId="298BA1DE" w14:textId="77777777" w:rsidTr="005B7F65">
        <w:trPr>
          <w:trHeight w:val="300"/>
        </w:trPr>
        <w:tc>
          <w:tcPr>
            <w:tcW w:w="1271" w:type="dxa"/>
            <w:noWrap/>
            <w:hideMark/>
          </w:tcPr>
          <w:p w14:paraId="372FA8B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TS-211</w:t>
            </w:r>
          </w:p>
        </w:tc>
        <w:tc>
          <w:tcPr>
            <w:tcW w:w="3686" w:type="dxa"/>
            <w:noWrap/>
            <w:hideMark/>
          </w:tcPr>
          <w:p w14:paraId="3A6888D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PVLB_18090 (FabH1)</w:t>
            </w:r>
          </w:p>
        </w:tc>
        <w:tc>
          <w:tcPr>
            <w:tcW w:w="3969" w:type="dxa"/>
            <w:noWrap/>
            <w:hideMark/>
          </w:tcPr>
          <w:p w14:paraId="57566C7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aggaacgacctgagtcttgggctgacgg</w:t>
            </w:r>
          </w:p>
        </w:tc>
      </w:tr>
      <w:tr w:rsidR="00AE654E" w:rsidRPr="008441F8" w14:paraId="268D86E3" w14:textId="77777777" w:rsidTr="005B7F65">
        <w:trPr>
          <w:trHeight w:val="300"/>
        </w:trPr>
        <w:tc>
          <w:tcPr>
            <w:tcW w:w="1271" w:type="dxa"/>
            <w:noWrap/>
            <w:hideMark/>
          </w:tcPr>
          <w:p w14:paraId="6CCD818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TS-212</w:t>
            </w:r>
          </w:p>
        </w:tc>
        <w:tc>
          <w:tcPr>
            <w:tcW w:w="3686" w:type="dxa"/>
            <w:noWrap/>
            <w:hideMark/>
          </w:tcPr>
          <w:p w14:paraId="22F048D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PVLB_18090 (FabH1)</w:t>
            </w:r>
          </w:p>
        </w:tc>
        <w:tc>
          <w:tcPr>
            <w:tcW w:w="3969" w:type="dxa"/>
            <w:noWrap/>
            <w:hideMark/>
          </w:tcPr>
          <w:p w14:paraId="7726CCD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ccaagactcaggtcgttcctctggtcaaag</w:t>
            </w:r>
          </w:p>
        </w:tc>
      </w:tr>
      <w:tr w:rsidR="00AE654E" w:rsidRPr="008441F8" w14:paraId="10B26AAD" w14:textId="77777777" w:rsidTr="005B7F65">
        <w:trPr>
          <w:trHeight w:val="300"/>
        </w:trPr>
        <w:tc>
          <w:tcPr>
            <w:tcW w:w="1271" w:type="dxa"/>
            <w:noWrap/>
            <w:hideMark/>
          </w:tcPr>
          <w:p w14:paraId="1E7C753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TS-213</w:t>
            </w:r>
          </w:p>
        </w:tc>
        <w:tc>
          <w:tcPr>
            <w:tcW w:w="3686" w:type="dxa"/>
            <w:noWrap/>
            <w:hideMark/>
          </w:tcPr>
          <w:p w14:paraId="27AA05D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PVLB_18090 (FabH1)</w:t>
            </w:r>
          </w:p>
        </w:tc>
        <w:tc>
          <w:tcPr>
            <w:tcW w:w="3969" w:type="dxa"/>
            <w:noWrap/>
            <w:hideMark/>
          </w:tcPr>
          <w:p w14:paraId="40AEE5C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tgcatgcctgcaggtcgactcaccgggagtctggttcaag</w:t>
            </w:r>
          </w:p>
        </w:tc>
      </w:tr>
      <w:tr w:rsidR="00AE654E" w:rsidRPr="008441F8" w14:paraId="1F97B57E" w14:textId="77777777" w:rsidTr="005B7F65">
        <w:trPr>
          <w:trHeight w:val="300"/>
        </w:trPr>
        <w:tc>
          <w:tcPr>
            <w:tcW w:w="1271" w:type="dxa"/>
            <w:noWrap/>
            <w:hideMark/>
          </w:tcPr>
          <w:p w14:paraId="27B31EB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TS-216</w:t>
            </w:r>
          </w:p>
        </w:tc>
        <w:tc>
          <w:tcPr>
            <w:tcW w:w="3686" w:type="dxa"/>
            <w:noWrap/>
            <w:hideMark/>
          </w:tcPr>
          <w:p w14:paraId="1DAEA20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PVLB_17265 (FabH2)</w:t>
            </w:r>
          </w:p>
        </w:tc>
        <w:tc>
          <w:tcPr>
            <w:tcW w:w="3969" w:type="dxa"/>
            <w:noWrap/>
            <w:hideMark/>
          </w:tcPr>
          <w:p w14:paraId="4F8AEC4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agggataacagggtaatctggcaagcgcgggtcagccg</w:t>
            </w:r>
          </w:p>
        </w:tc>
      </w:tr>
      <w:tr w:rsidR="00AE654E" w:rsidRPr="008441F8" w14:paraId="44C92EFB" w14:textId="77777777" w:rsidTr="005B7F65">
        <w:trPr>
          <w:trHeight w:val="300"/>
        </w:trPr>
        <w:tc>
          <w:tcPr>
            <w:tcW w:w="1271" w:type="dxa"/>
            <w:noWrap/>
            <w:hideMark/>
          </w:tcPr>
          <w:p w14:paraId="1A1A57C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TS-217</w:t>
            </w:r>
          </w:p>
        </w:tc>
        <w:tc>
          <w:tcPr>
            <w:tcW w:w="3686" w:type="dxa"/>
            <w:noWrap/>
            <w:hideMark/>
          </w:tcPr>
          <w:p w14:paraId="7FA5245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PVLB_17265 (FabH2)</w:t>
            </w:r>
          </w:p>
        </w:tc>
        <w:tc>
          <w:tcPr>
            <w:tcW w:w="3969" w:type="dxa"/>
            <w:noWrap/>
            <w:hideMark/>
          </w:tcPr>
          <w:p w14:paraId="7D6FCAE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ttgggaagcctaagcgctgccagtaggttactcttcg</w:t>
            </w:r>
          </w:p>
        </w:tc>
      </w:tr>
      <w:tr w:rsidR="00AE654E" w:rsidRPr="008441F8" w14:paraId="65DDAAB0" w14:textId="77777777" w:rsidTr="005B7F65">
        <w:trPr>
          <w:trHeight w:val="300"/>
        </w:trPr>
        <w:tc>
          <w:tcPr>
            <w:tcW w:w="1271" w:type="dxa"/>
            <w:noWrap/>
            <w:hideMark/>
          </w:tcPr>
          <w:p w14:paraId="751C2C4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TS-218</w:t>
            </w:r>
          </w:p>
        </w:tc>
        <w:tc>
          <w:tcPr>
            <w:tcW w:w="3686" w:type="dxa"/>
            <w:noWrap/>
            <w:hideMark/>
          </w:tcPr>
          <w:p w14:paraId="54DB522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PVLB_17265 (FabH2)</w:t>
            </w:r>
          </w:p>
        </w:tc>
        <w:tc>
          <w:tcPr>
            <w:tcW w:w="3969" w:type="dxa"/>
            <w:noWrap/>
            <w:hideMark/>
          </w:tcPr>
          <w:p w14:paraId="7CEB31A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gcagcgcttaggcttcccaataaataacagctcaataccaccgtc</w:t>
            </w:r>
          </w:p>
        </w:tc>
      </w:tr>
      <w:tr w:rsidR="00AE654E" w:rsidRPr="008441F8" w14:paraId="38209813" w14:textId="77777777" w:rsidTr="005B7F65">
        <w:trPr>
          <w:trHeight w:val="300"/>
        </w:trPr>
        <w:tc>
          <w:tcPr>
            <w:tcW w:w="1271" w:type="dxa"/>
            <w:noWrap/>
            <w:hideMark/>
          </w:tcPr>
          <w:p w14:paraId="03EA110F"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TS-219</w:t>
            </w:r>
          </w:p>
        </w:tc>
        <w:tc>
          <w:tcPr>
            <w:tcW w:w="3686" w:type="dxa"/>
            <w:noWrap/>
            <w:hideMark/>
          </w:tcPr>
          <w:p w14:paraId="459D2E3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PVLB_17265 (FabH2)</w:t>
            </w:r>
          </w:p>
        </w:tc>
        <w:tc>
          <w:tcPr>
            <w:tcW w:w="3969" w:type="dxa"/>
            <w:noWrap/>
            <w:hideMark/>
          </w:tcPr>
          <w:p w14:paraId="3A03A012"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tgcatgcctgcaggtcgactccgtgccgacggcggtgt</w:t>
            </w:r>
          </w:p>
        </w:tc>
      </w:tr>
      <w:tr w:rsidR="00AE654E" w:rsidRPr="008441F8" w14:paraId="68B813E4" w14:textId="77777777" w:rsidTr="005B7F65">
        <w:trPr>
          <w:trHeight w:val="300"/>
        </w:trPr>
        <w:tc>
          <w:tcPr>
            <w:tcW w:w="1271" w:type="dxa"/>
            <w:noWrap/>
            <w:hideMark/>
          </w:tcPr>
          <w:p w14:paraId="5576D9F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TS-222</w:t>
            </w:r>
          </w:p>
        </w:tc>
        <w:tc>
          <w:tcPr>
            <w:tcW w:w="3686" w:type="dxa"/>
            <w:noWrap/>
            <w:hideMark/>
          </w:tcPr>
          <w:p w14:paraId="4B9469A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sigX in pBNT</w:t>
            </w:r>
          </w:p>
        </w:tc>
        <w:tc>
          <w:tcPr>
            <w:tcW w:w="3969" w:type="dxa"/>
            <w:noWrap/>
            <w:hideMark/>
          </w:tcPr>
          <w:p w14:paraId="17A67A8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acaggaaacaggaggtaccgaattcatgcgttatgacccccgc</w:t>
            </w:r>
          </w:p>
        </w:tc>
      </w:tr>
      <w:tr w:rsidR="00AE654E" w:rsidRPr="008441F8" w14:paraId="2E7081F6" w14:textId="77777777" w:rsidTr="005B7F65">
        <w:trPr>
          <w:trHeight w:val="300"/>
        </w:trPr>
        <w:tc>
          <w:tcPr>
            <w:tcW w:w="1271" w:type="dxa"/>
            <w:noWrap/>
            <w:hideMark/>
          </w:tcPr>
          <w:p w14:paraId="78DFF32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TS-223</w:t>
            </w:r>
          </w:p>
        </w:tc>
        <w:tc>
          <w:tcPr>
            <w:tcW w:w="3686" w:type="dxa"/>
            <w:noWrap/>
            <w:hideMark/>
          </w:tcPr>
          <w:p w14:paraId="428043D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sigX in pBNT</w:t>
            </w:r>
          </w:p>
        </w:tc>
        <w:tc>
          <w:tcPr>
            <w:tcW w:w="3969" w:type="dxa"/>
            <w:noWrap/>
            <w:hideMark/>
          </w:tcPr>
          <w:p w14:paraId="4DB8325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atgctcctctagactcgaggctaagtttcactcaacccggc</w:t>
            </w:r>
          </w:p>
        </w:tc>
      </w:tr>
      <w:tr w:rsidR="00AE654E" w:rsidRPr="008441F8" w14:paraId="7974598E" w14:textId="77777777" w:rsidTr="005B7F65">
        <w:trPr>
          <w:trHeight w:val="300"/>
        </w:trPr>
        <w:tc>
          <w:tcPr>
            <w:tcW w:w="1271" w:type="dxa"/>
            <w:noWrap/>
            <w:hideMark/>
          </w:tcPr>
          <w:p w14:paraId="2D3676F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TS-224</w:t>
            </w:r>
          </w:p>
        </w:tc>
        <w:tc>
          <w:tcPr>
            <w:tcW w:w="3686" w:type="dxa"/>
            <w:noWrap/>
            <w:hideMark/>
          </w:tcPr>
          <w:p w14:paraId="1D7F795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fabD (W258Q) in pBNT</w:t>
            </w:r>
          </w:p>
        </w:tc>
        <w:tc>
          <w:tcPr>
            <w:tcW w:w="3969" w:type="dxa"/>
            <w:noWrap/>
            <w:hideMark/>
          </w:tcPr>
          <w:p w14:paraId="3E5FBA2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acaggaaacaggaggtaccgaattcatgtctgcatccctcgcattcgtctttcc</w:t>
            </w:r>
          </w:p>
        </w:tc>
      </w:tr>
      <w:tr w:rsidR="00AE654E" w:rsidRPr="008441F8" w14:paraId="130E8A82" w14:textId="77777777" w:rsidTr="005B7F65">
        <w:trPr>
          <w:trHeight w:val="300"/>
        </w:trPr>
        <w:tc>
          <w:tcPr>
            <w:tcW w:w="1271" w:type="dxa"/>
            <w:noWrap/>
            <w:hideMark/>
          </w:tcPr>
          <w:p w14:paraId="7F9C870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TS-225</w:t>
            </w:r>
          </w:p>
        </w:tc>
        <w:tc>
          <w:tcPr>
            <w:tcW w:w="3686" w:type="dxa"/>
            <w:noWrap/>
            <w:hideMark/>
          </w:tcPr>
          <w:p w14:paraId="32F628A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fabD (W258Q) in pBNT</w:t>
            </w:r>
          </w:p>
        </w:tc>
        <w:tc>
          <w:tcPr>
            <w:tcW w:w="3969" w:type="dxa"/>
            <w:noWrap/>
            <w:hideMark/>
          </w:tcPr>
          <w:p w14:paraId="2881B52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atgctcctctagactcgaggtcaggccagcgccgcacg</w:t>
            </w:r>
          </w:p>
        </w:tc>
      </w:tr>
      <w:tr w:rsidR="00AE654E" w:rsidRPr="008441F8" w14:paraId="20E47F57" w14:textId="77777777" w:rsidTr="005B7F65">
        <w:trPr>
          <w:trHeight w:val="300"/>
        </w:trPr>
        <w:tc>
          <w:tcPr>
            <w:tcW w:w="1271" w:type="dxa"/>
            <w:noWrap/>
            <w:hideMark/>
          </w:tcPr>
          <w:p w14:paraId="2FE456B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TS-235</w:t>
            </w:r>
          </w:p>
        </w:tc>
        <w:tc>
          <w:tcPr>
            <w:tcW w:w="3686" w:type="dxa"/>
            <w:noWrap/>
            <w:hideMark/>
          </w:tcPr>
          <w:p w14:paraId="65DED0B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new TS2 PVLB_17265 (FabH2)</w:t>
            </w:r>
          </w:p>
        </w:tc>
        <w:tc>
          <w:tcPr>
            <w:tcW w:w="3969" w:type="dxa"/>
            <w:noWrap/>
            <w:hideMark/>
          </w:tcPr>
          <w:p w14:paraId="2FF9E57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tgcatgcctgcaggtcgactagaagcactttaccctcg</w:t>
            </w:r>
          </w:p>
        </w:tc>
      </w:tr>
      <w:tr w:rsidR="00AE654E" w:rsidRPr="008441F8" w14:paraId="5F7E21C2" w14:textId="77777777" w:rsidTr="005B7F65">
        <w:trPr>
          <w:trHeight w:val="300"/>
        </w:trPr>
        <w:tc>
          <w:tcPr>
            <w:tcW w:w="1271" w:type="dxa"/>
            <w:noWrap/>
            <w:hideMark/>
          </w:tcPr>
          <w:p w14:paraId="78F5EB2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TS-238</w:t>
            </w:r>
          </w:p>
        </w:tc>
        <w:tc>
          <w:tcPr>
            <w:tcW w:w="3686" w:type="dxa"/>
            <w:noWrap/>
            <w:hideMark/>
          </w:tcPr>
          <w:p w14:paraId="0D4BC42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on pBGxx BB to insert</w:t>
            </w:r>
          </w:p>
        </w:tc>
        <w:tc>
          <w:tcPr>
            <w:tcW w:w="3969" w:type="dxa"/>
            <w:noWrap/>
            <w:hideMark/>
          </w:tcPr>
          <w:p w14:paraId="2EB1365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ccgggtaccgagctcgaattc</w:t>
            </w:r>
          </w:p>
        </w:tc>
      </w:tr>
      <w:tr w:rsidR="00AE654E" w:rsidRPr="008441F8" w14:paraId="039E88A4" w14:textId="77777777" w:rsidTr="005B7F65">
        <w:trPr>
          <w:trHeight w:val="300"/>
        </w:trPr>
        <w:tc>
          <w:tcPr>
            <w:tcW w:w="1271" w:type="dxa"/>
            <w:noWrap/>
            <w:hideMark/>
          </w:tcPr>
          <w:p w14:paraId="04E2093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TS-250</w:t>
            </w:r>
          </w:p>
        </w:tc>
        <w:tc>
          <w:tcPr>
            <w:tcW w:w="3686" w:type="dxa"/>
            <w:noWrap/>
            <w:hideMark/>
          </w:tcPr>
          <w:p w14:paraId="6E89230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CgaccBC-D1 cloning in landing pad PVLB_23545</w:t>
            </w:r>
          </w:p>
        </w:tc>
        <w:tc>
          <w:tcPr>
            <w:tcW w:w="3969" w:type="dxa"/>
            <w:noWrap/>
            <w:hideMark/>
          </w:tcPr>
          <w:p w14:paraId="1E10BFE5"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cgggtaccgagctcgaattcttacagtggcatgttgcc</w:t>
            </w:r>
          </w:p>
        </w:tc>
      </w:tr>
      <w:tr w:rsidR="00AE654E" w:rsidRPr="008441F8" w14:paraId="07B1C889" w14:textId="77777777" w:rsidTr="005B7F65">
        <w:trPr>
          <w:trHeight w:val="300"/>
        </w:trPr>
        <w:tc>
          <w:tcPr>
            <w:tcW w:w="1271" w:type="dxa"/>
            <w:noWrap/>
            <w:hideMark/>
          </w:tcPr>
          <w:p w14:paraId="73ECA3E3"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TS-251</w:t>
            </w:r>
          </w:p>
        </w:tc>
        <w:tc>
          <w:tcPr>
            <w:tcW w:w="3686" w:type="dxa"/>
            <w:noWrap/>
            <w:hideMark/>
          </w:tcPr>
          <w:p w14:paraId="58583107"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fabF2 from KT2440 (PP_3303)</w:t>
            </w:r>
          </w:p>
        </w:tc>
        <w:tc>
          <w:tcPr>
            <w:tcW w:w="3969" w:type="dxa"/>
            <w:noWrap/>
            <w:hideMark/>
          </w:tcPr>
          <w:p w14:paraId="4A5DB33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tgctaaggaggttttctaatgactcacaacgttaatcaaaagcg</w:t>
            </w:r>
          </w:p>
        </w:tc>
      </w:tr>
      <w:tr w:rsidR="00AE654E" w:rsidRPr="008441F8" w14:paraId="43A678EB" w14:textId="77777777" w:rsidTr="005B7F65">
        <w:trPr>
          <w:trHeight w:val="300"/>
        </w:trPr>
        <w:tc>
          <w:tcPr>
            <w:tcW w:w="1271" w:type="dxa"/>
            <w:noWrap/>
            <w:hideMark/>
          </w:tcPr>
          <w:p w14:paraId="4A66EB0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lastRenderedPageBreak/>
              <w:t>TS-252</w:t>
            </w:r>
          </w:p>
        </w:tc>
        <w:tc>
          <w:tcPr>
            <w:tcW w:w="3686" w:type="dxa"/>
            <w:noWrap/>
            <w:hideMark/>
          </w:tcPr>
          <w:p w14:paraId="6953AC1B"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fabF2 from KT2440 (PP_3303)</w:t>
            </w:r>
          </w:p>
        </w:tc>
        <w:tc>
          <w:tcPr>
            <w:tcW w:w="3969" w:type="dxa"/>
            <w:noWrap/>
            <w:hideMark/>
          </w:tcPr>
          <w:p w14:paraId="49FE80F8"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cgggtaccgagctcgaattctcatacgttggcctcccag</w:t>
            </w:r>
          </w:p>
        </w:tc>
      </w:tr>
      <w:tr w:rsidR="00AE654E" w:rsidRPr="008441F8" w14:paraId="695F8293" w14:textId="77777777" w:rsidTr="005B7F65">
        <w:trPr>
          <w:trHeight w:val="300"/>
        </w:trPr>
        <w:tc>
          <w:tcPr>
            <w:tcW w:w="1271" w:type="dxa"/>
            <w:noWrap/>
            <w:hideMark/>
          </w:tcPr>
          <w:p w14:paraId="6479AC8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TS-254</w:t>
            </w:r>
          </w:p>
        </w:tc>
        <w:tc>
          <w:tcPr>
            <w:tcW w:w="3686" w:type="dxa"/>
            <w:noWrap/>
            <w:hideMark/>
          </w:tcPr>
          <w:p w14:paraId="2ADBC89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TS1 PVLB_16225 (FabB)</w:t>
            </w:r>
          </w:p>
        </w:tc>
        <w:tc>
          <w:tcPr>
            <w:tcW w:w="3969" w:type="dxa"/>
            <w:noWrap/>
            <w:hideMark/>
          </w:tcPr>
          <w:p w14:paraId="4CAB797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agggataacagggtaatctggaagacctgctgcgctgc</w:t>
            </w:r>
          </w:p>
        </w:tc>
      </w:tr>
      <w:tr w:rsidR="00AE654E" w:rsidRPr="008441F8" w14:paraId="4AD47174" w14:textId="77777777" w:rsidTr="005B7F65">
        <w:trPr>
          <w:trHeight w:val="300"/>
        </w:trPr>
        <w:tc>
          <w:tcPr>
            <w:tcW w:w="1271" w:type="dxa"/>
            <w:noWrap/>
            <w:hideMark/>
          </w:tcPr>
          <w:p w14:paraId="1021320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TS-255</w:t>
            </w:r>
          </w:p>
        </w:tc>
        <w:tc>
          <w:tcPr>
            <w:tcW w:w="3686" w:type="dxa"/>
            <w:noWrap/>
            <w:hideMark/>
          </w:tcPr>
          <w:p w14:paraId="6488C3E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TS1 PVLB_16225 (FabB)</w:t>
            </w:r>
          </w:p>
        </w:tc>
        <w:tc>
          <w:tcPr>
            <w:tcW w:w="3969" w:type="dxa"/>
            <w:noWrap/>
            <w:hideMark/>
          </w:tcPr>
          <w:p w14:paraId="6DCF755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cagcgtcttagcgaataacccttagaaattgtcagtg</w:t>
            </w:r>
          </w:p>
        </w:tc>
      </w:tr>
      <w:tr w:rsidR="00AE654E" w:rsidRPr="008441F8" w14:paraId="13ACE41E" w14:textId="77777777" w:rsidTr="005B7F65">
        <w:trPr>
          <w:trHeight w:val="300"/>
        </w:trPr>
        <w:tc>
          <w:tcPr>
            <w:tcW w:w="1271" w:type="dxa"/>
            <w:noWrap/>
            <w:hideMark/>
          </w:tcPr>
          <w:p w14:paraId="53113E7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TS-256</w:t>
            </w:r>
          </w:p>
        </w:tc>
        <w:tc>
          <w:tcPr>
            <w:tcW w:w="3686" w:type="dxa"/>
            <w:noWrap/>
            <w:hideMark/>
          </w:tcPr>
          <w:p w14:paraId="579728F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TS2 PVLB_16225 (FabB)</w:t>
            </w:r>
          </w:p>
        </w:tc>
        <w:tc>
          <w:tcPr>
            <w:tcW w:w="3969" w:type="dxa"/>
            <w:noWrap/>
            <w:hideMark/>
          </w:tcPr>
          <w:p w14:paraId="5D0B404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ggttattcgctaagacgctgatgcggtaattg</w:t>
            </w:r>
          </w:p>
        </w:tc>
      </w:tr>
      <w:tr w:rsidR="00AE654E" w:rsidRPr="008441F8" w14:paraId="23CE0DC3" w14:textId="77777777" w:rsidTr="005B7F65">
        <w:trPr>
          <w:trHeight w:val="300"/>
        </w:trPr>
        <w:tc>
          <w:tcPr>
            <w:tcW w:w="1271" w:type="dxa"/>
            <w:noWrap/>
            <w:hideMark/>
          </w:tcPr>
          <w:p w14:paraId="6AB818F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TS-257</w:t>
            </w:r>
          </w:p>
        </w:tc>
        <w:tc>
          <w:tcPr>
            <w:tcW w:w="3686" w:type="dxa"/>
            <w:noWrap/>
            <w:hideMark/>
          </w:tcPr>
          <w:p w14:paraId="33A2427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TS2 PVLB_16225 (FabB)</w:t>
            </w:r>
          </w:p>
        </w:tc>
        <w:tc>
          <w:tcPr>
            <w:tcW w:w="3969" w:type="dxa"/>
            <w:noWrap/>
            <w:hideMark/>
          </w:tcPr>
          <w:p w14:paraId="72DD0321"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atccccgggtaccgagctcggccattgcgcaatcatcc</w:t>
            </w:r>
          </w:p>
        </w:tc>
      </w:tr>
      <w:tr w:rsidR="00AE654E" w:rsidRPr="008441F8" w14:paraId="2C2FD836" w14:textId="77777777" w:rsidTr="005B7F65">
        <w:trPr>
          <w:trHeight w:val="300"/>
        </w:trPr>
        <w:tc>
          <w:tcPr>
            <w:tcW w:w="1271" w:type="dxa"/>
            <w:noWrap/>
            <w:hideMark/>
          </w:tcPr>
          <w:p w14:paraId="32F2C69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TS-275</w:t>
            </w:r>
          </w:p>
        </w:tc>
        <w:tc>
          <w:tcPr>
            <w:tcW w:w="3686" w:type="dxa"/>
            <w:noWrap/>
            <w:hideMark/>
          </w:tcPr>
          <w:p w14:paraId="26B92CA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on gene spacer in pBG</w:t>
            </w:r>
          </w:p>
        </w:tc>
        <w:tc>
          <w:tcPr>
            <w:tcW w:w="3969" w:type="dxa"/>
            <w:noWrap/>
            <w:hideMark/>
          </w:tcPr>
          <w:p w14:paraId="28F3CDED"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cctcctttcggtacccgcatag</w:t>
            </w:r>
          </w:p>
        </w:tc>
      </w:tr>
      <w:tr w:rsidR="00AE654E" w:rsidRPr="008441F8" w14:paraId="398BA5E9" w14:textId="77777777" w:rsidTr="005B7F65">
        <w:trPr>
          <w:trHeight w:val="300"/>
        </w:trPr>
        <w:tc>
          <w:tcPr>
            <w:tcW w:w="1271" w:type="dxa"/>
            <w:noWrap/>
            <w:hideMark/>
          </w:tcPr>
          <w:p w14:paraId="428664A9"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TS-276</w:t>
            </w:r>
          </w:p>
        </w:tc>
        <w:tc>
          <w:tcPr>
            <w:tcW w:w="3686" w:type="dxa"/>
            <w:noWrap/>
            <w:hideMark/>
          </w:tcPr>
          <w:p w14:paraId="38D08774"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on mcs of pBG</w:t>
            </w:r>
          </w:p>
        </w:tc>
        <w:tc>
          <w:tcPr>
            <w:tcW w:w="3969" w:type="dxa"/>
            <w:noWrap/>
            <w:hideMark/>
          </w:tcPr>
          <w:p w14:paraId="32E941BC"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agaattcgagctcggtacc</w:t>
            </w:r>
          </w:p>
        </w:tc>
      </w:tr>
      <w:tr w:rsidR="00AE654E" w:rsidRPr="008441F8" w14:paraId="7D16B3FF" w14:textId="77777777" w:rsidTr="005B7F65">
        <w:trPr>
          <w:trHeight w:val="300"/>
        </w:trPr>
        <w:tc>
          <w:tcPr>
            <w:tcW w:w="1271" w:type="dxa"/>
            <w:noWrap/>
            <w:hideMark/>
          </w:tcPr>
          <w:p w14:paraId="3D68A29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TS-277</w:t>
            </w:r>
          </w:p>
        </w:tc>
        <w:tc>
          <w:tcPr>
            <w:tcW w:w="3686" w:type="dxa"/>
            <w:noWrap/>
            <w:hideMark/>
          </w:tcPr>
          <w:p w14:paraId="7232C84E"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fwd StsTAL with overhangs</w:t>
            </w:r>
          </w:p>
        </w:tc>
        <w:tc>
          <w:tcPr>
            <w:tcW w:w="3969" w:type="dxa"/>
            <w:noWrap/>
            <w:hideMark/>
          </w:tcPr>
          <w:p w14:paraId="213B5ACA"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atgcgggtaccgaaaggaggtctatatgccgagcctggactcc</w:t>
            </w:r>
          </w:p>
        </w:tc>
      </w:tr>
      <w:tr w:rsidR="00AE654E" w:rsidRPr="008441F8" w14:paraId="70BDD331" w14:textId="77777777" w:rsidTr="005B7F65">
        <w:trPr>
          <w:trHeight w:val="300"/>
        </w:trPr>
        <w:tc>
          <w:tcPr>
            <w:tcW w:w="1271" w:type="dxa"/>
            <w:noWrap/>
            <w:hideMark/>
          </w:tcPr>
          <w:p w14:paraId="6B043BD0"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TS-278</w:t>
            </w:r>
          </w:p>
        </w:tc>
        <w:tc>
          <w:tcPr>
            <w:tcW w:w="3686" w:type="dxa"/>
            <w:noWrap/>
            <w:hideMark/>
          </w:tcPr>
          <w:p w14:paraId="1C77964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rev StsTAL with overhangs</w:t>
            </w:r>
          </w:p>
        </w:tc>
        <w:tc>
          <w:tcPr>
            <w:tcW w:w="3969" w:type="dxa"/>
            <w:noWrap/>
            <w:hideMark/>
          </w:tcPr>
          <w:p w14:paraId="32CCAAB6" w14:textId="77777777" w:rsidR="00AE654E" w:rsidRPr="008441F8" w:rsidRDefault="00AE654E" w:rsidP="000165F5">
            <w:pPr>
              <w:rPr>
                <w:rFonts w:ascii="Calibri" w:eastAsia="Times New Roman" w:hAnsi="Calibri" w:cs="Calibri"/>
                <w:color w:val="000000"/>
                <w:lang w:val="en-US" w:eastAsia="de-DE"/>
              </w:rPr>
            </w:pPr>
            <w:r w:rsidRPr="008441F8">
              <w:rPr>
                <w:rFonts w:ascii="Calibri" w:eastAsia="Times New Roman" w:hAnsi="Calibri" w:cs="Calibri"/>
                <w:color w:val="000000"/>
                <w:lang w:val="en-US" w:eastAsia="de-DE"/>
              </w:rPr>
              <w:t>gggtaccgagctcgaattctttaggccgcacccgtcaa</w:t>
            </w:r>
          </w:p>
        </w:tc>
      </w:tr>
    </w:tbl>
    <w:p w14:paraId="3D5BFF27" w14:textId="77777777" w:rsidR="00AE654E" w:rsidRPr="008441F8" w:rsidRDefault="00AE654E" w:rsidP="00B84A00">
      <w:pPr>
        <w:spacing w:line="276" w:lineRule="auto"/>
        <w:jc w:val="both"/>
        <w:rPr>
          <w:lang w:val="en-US"/>
        </w:rPr>
      </w:pPr>
    </w:p>
    <w:p w14:paraId="0D585ADB" w14:textId="3344D126" w:rsidR="000165F5" w:rsidRDefault="000165F5">
      <w:pPr>
        <w:rPr>
          <w:lang w:val="en-US"/>
        </w:rPr>
      </w:pPr>
      <w:r>
        <w:rPr>
          <w:lang w:val="en-US"/>
        </w:rPr>
        <w:br w:type="page"/>
      </w:r>
    </w:p>
    <w:p w14:paraId="11A23550" w14:textId="77777777" w:rsidR="00AE654E" w:rsidRPr="008441F8" w:rsidRDefault="00AE654E" w:rsidP="00B84A00">
      <w:pPr>
        <w:pStyle w:val="berschrift2"/>
        <w:spacing w:line="276" w:lineRule="auto"/>
        <w:rPr>
          <w:bCs/>
          <w:lang w:val="en-US"/>
        </w:rPr>
      </w:pPr>
      <w:bookmarkStart w:id="8" w:name="_Toc132047261"/>
      <w:r w:rsidRPr="008441F8">
        <w:rPr>
          <w:b/>
          <w:bCs/>
          <w:lang w:val="en-US"/>
        </w:rPr>
        <w:lastRenderedPageBreak/>
        <w:t xml:space="preserve">Table S4: </w:t>
      </w:r>
      <w:r w:rsidRPr="008441F8">
        <w:rPr>
          <w:bCs/>
          <w:lang w:val="en-US"/>
        </w:rPr>
        <w:t>Synthetic DNA fragments.</w:t>
      </w:r>
      <w:bookmarkEnd w:id="8"/>
      <w:r w:rsidRPr="008441F8">
        <w:rPr>
          <w:bCs/>
          <w:lang w:val="en-US"/>
        </w:rPr>
        <w:t xml:space="preserve"> </w:t>
      </w:r>
    </w:p>
    <w:p w14:paraId="16E408EB" w14:textId="77777777" w:rsidR="00AE654E" w:rsidRPr="008441F8" w:rsidRDefault="00AE654E" w:rsidP="00B84A00">
      <w:pPr>
        <w:pStyle w:val="KeinLeerraum"/>
        <w:spacing w:line="276" w:lineRule="auto"/>
        <w:rPr>
          <w:lang w:val="en-US"/>
        </w:rPr>
      </w:pPr>
      <w:r w:rsidRPr="008441F8">
        <w:rPr>
          <w:lang w:val="en-US"/>
        </w:rPr>
        <w:t>Overhangs for cloning are indicated by small letters, capital letters represent coding sequences.</w:t>
      </w:r>
    </w:p>
    <w:tbl>
      <w:tblPr>
        <w:tblStyle w:val="Tabellenraster"/>
        <w:tblW w:w="9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088"/>
        <w:gridCol w:w="975"/>
      </w:tblGrid>
      <w:tr w:rsidR="00AE654E" w:rsidRPr="008441F8" w14:paraId="00E1817E" w14:textId="77777777" w:rsidTr="005B7F65">
        <w:tc>
          <w:tcPr>
            <w:tcW w:w="1134" w:type="dxa"/>
            <w:tcBorders>
              <w:top w:val="single" w:sz="4" w:space="0" w:color="auto"/>
              <w:bottom w:val="single" w:sz="4" w:space="0" w:color="auto"/>
            </w:tcBorders>
          </w:tcPr>
          <w:p w14:paraId="4536E474" w14:textId="77777777" w:rsidR="00AE654E" w:rsidRPr="008441F8" w:rsidRDefault="00AE654E" w:rsidP="000165F5">
            <w:pPr>
              <w:spacing w:after="160"/>
              <w:jc w:val="both"/>
              <w:rPr>
                <w:b/>
                <w:lang w:val="en-US"/>
              </w:rPr>
            </w:pPr>
            <w:r w:rsidRPr="008441F8">
              <w:rPr>
                <w:b/>
                <w:lang w:val="en-US"/>
              </w:rPr>
              <w:t>Name</w:t>
            </w:r>
          </w:p>
        </w:tc>
        <w:tc>
          <w:tcPr>
            <w:tcW w:w="7088" w:type="dxa"/>
            <w:tcBorders>
              <w:top w:val="single" w:sz="4" w:space="0" w:color="auto"/>
              <w:bottom w:val="single" w:sz="4" w:space="0" w:color="auto"/>
            </w:tcBorders>
          </w:tcPr>
          <w:p w14:paraId="65E7221C" w14:textId="77777777" w:rsidR="00AE654E" w:rsidRPr="008441F8" w:rsidRDefault="00AE654E" w:rsidP="000165F5">
            <w:pPr>
              <w:spacing w:after="160"/>
              <w:jc w:val="both"/>
              <w:rPr>
                <w:b/>
                <w:lang w:val="en-US"/>
              </w:rPr>
            </w:pPr>
            <w:r w:rsidRPr="008441F8">
              <w:rPr>
                <w:b/>
                <w:lang w:val="en-US"/>
              </w:rPr>
              <w:t>Sequence (5’ → 3’)</w:t>
            </w:r>
          </w:p>
        </w:tc>
        <w:tc>
          <w:tcPr>
            <w:tcW w:w="975" w:type="dxa"/>
            <w:tcBorders>
              <w:top w:val="single" w:sz="4" w:space="0" w:color="auto"/>
              <w:bottom w:val="single" w:sz="4" w:space="0" w:color="auto"/>
            </w:tcBorders>
          </w:tcPr>
          <w:p w14:paraId="6F14828E" w14:textId="77777777" w:rsidR="00AE654E" w:rsidRPr="008441F8" w:rsidRDefault="00AE654E" w:rsidP="000165F5">
            <w:pPr>
              <w:spacing w:after="160"/>
              <w:jc w:val="both"/>
              <w:rPr>
                <w:b/>
                <w:lang w:val="en-US"/>
              </w:rPr>
            </w:pPr>
            <w:r w:rsidRPr="008441F8">
              <w:rPr>
                <w:b/>
                <w:lang w:val="en-US"/>
              </w:rPr>
              <w:t>Note</w:t>
            </w:r>
          </w:p>
        </w:tc>
      </w:tr>
      <w:tr w:rsidR="00AE654E" w:rsidRPr="008441F8" w14:paraId="17DA8A08" w14:textId="77777777" w:rsidTr="005B7F65">
        <w:trPr>
          <w:cantSplit/>
          <w:trHeight w:val="1134"/>
        </w:trPr>
        <w:tc>
          <w:tcPr>
            <w:tcW w:w="1134" w:type="dxa"/>
            <w:tcBorders>
              <w:top w:val="single" w:sz="4" w:space="0" w:color="auto"/>
              <w:bottom w:val="single" w:sz="4" w:space="0" w:color="auto"/>
            </w:tcBorders>
          </w:tcPr>
          <w:p w14:paraId="663174A5" w14:textId="77777777" w:rsidR="00AE654E" w:rsidRPr="008441F8" w:rsidRDefault="00AE654E" w:rsidP="000165F5">
            <w:pPr>
              <w:spacing w:after="160"/>
              <w:jc w:val="both"/>
              <w:rPr>
                <w:i/>
                <w:lang w:val="en-US"/>
              </w:rPr>
            </w:pPr>
            <w:r w:rsidRPr="008441F8">
              <w:rPr>
                <w:i/>
                <w:lang w:val="en-US"/>
              </w:rPr>
              <w:t>AhSTS.opt</w:t>
            </w:r>
          </w:p>
        </w:tc>
        <w:tc>
          <w:tcPr>
            <w:tcW w:w="7088" w:type="dxa"/>
            <w:tcBorders>
              <w:top w:val="single" w:sz="4" w:space="0" w:color="auto"/>
              <w:bottom w:val="single" w:sz="4" w:space="0" w:color="auto"/>
            </w:tcBorders>
            <w:vAlign w:val="center"/>
          </w:tcPr>
          <w:p w14:paraId="1254CECA" w14:textId="77777777" w:rsidR="00AE654E" w:rsidRPr="008441F8" w:rsidRDefault="00AE654E" w:rsidP="000165F5">
            <w:pPr>
              <w:jc w:val="both"/>
              <w:rPr>
                <w:lang w:val="en-US"/>
              </w:rPr>
            </w:pPr>
            <w:r w:rsidRPr="008441F8">
              <w:rPr>
                <w:lang w:val="en-US"/>
              </w:rPr>
              <w:t>ATGGGCAGCTCGCATCATCACCACCATCACAGCCAAGACCCGATGGTGTCTGTCAGCGGTATCCGTAAAGTCCAGCGTGCGGAGGGTCCGGCAACCGTGCTCGCCATCGGCACCGCGAACCCACCGAACTGCGTGGACCAGAGCACTTACGCTGACTACTACTTCCGCGTCACTAACAGCGAACATATGACCGATCTGAAGAAGAAGTTCCAGCGCATCTGCGAGCGCACCCAGATCAAGAACCGCCACATGTATCTGACCGAAGAGATCCTGAAAGAGAACCCGAACATGTGCGCTTACAAGGCCCCATCCCTCGACGCCCGCGAAGATATGATGATCCGTGAGGTCCCGCGTGTTGGCAAGGAAGCCGCTACCAAGGCCATTAAAGAGTGGGGCCAGCCTATGTCGAAAATCACCCACCTGATCTTCTGCACCACCAGTGGCGTGGCACTGCCGGGTGTGGACTACGAACTGATTGTACTGCTGGGTCTGGACCCAAGCGTGAAGCGTTACATGATGTATCACCAGGGCTGCTTCGCCGGCGGTACCGTTCTGCGCCTCGCCAAGGATCTGGCAGAGAACAACAAAGACGCCCGTGTGCTGATCGTCTGCTCGGAGAACACGAGCGTTACCTTCCGTGGTCCTTCCGAGACCGACATGGACTCCCTGGTCGGCCAGGCCCTGTTTGCCGATGGCGCTGCTGCTATCATCATCGGCTCGGACCCGGTCCCAGAAGTCGAAAACCCGCTGTTCGAGATCGTCTCGACCGACCAGCAGCTGGTTCCGAACTCCCACGGTGCCATCGGTGGTCTGCTGCGGGAAGTCGGTTTGACCTTCTACCTGAACAAGTCCGTGCCTGACATCATCTCCCAGAACATCAACGATGCACTGAGCAAGGCGTTCGACCCACTGGGTATCAGCGACTACAATAGCATCTTCTGGATCGCGCATCCGGGTGGCCGTGCAATCCTGGACCAGGTCGAGGAAAAAGTGAACCTGAAGCCTGAAAAGATGAAGGCTACGCGTGATGTGCTGTCCAACTACGGTAATATGTCCAGCGCCTGCGTCTTCTTCATCATGGACCTGATGCGTAAGAAATCGCTGGAAGCCGGCCTGAAGACCACGGGCGAAGGCCTGGATTGGGGCGTACTGTTCGGTTTCGGTCCTGGTCTGACCATCGAAACTGTTGTGCTGCGCTCCATGGCCATCTAA</w:t>
            </w:r>
          </w:p>
        </w:tc>
        <w:tc>
          <w:tcPr>
            <w:tcW w:w="975" w:type="dxa"/>
            <w:tcBorders>
              <w:top w:val="single" w:sz="4" w:space="0" w:color="auto"/>
              <w:bottom w:val="single" w:sz="4" w:space="0" w:color="auto"/>
            </w:tcBorders>
            <w:textDirection w:val="btLr"/>
          </w:tcPr>
          <w:p w14:paraId="5A8DC916" w14:textId="77777777" w:rsidR="00AE654E" w:rsidRPr="008441F8" w:rsidRDefault="00AE654E" w:rsidP="000165F5">
            <w:pPr>
              <w:jc w:val="both"/>
              <w:rPr>
                <w:lang w:val="en-US"/>
              </w:rPr>
            </w:pPr>
            <w:r w:rsidRPr="008441F8">
              <w:rPr>
                <w:lang w:val="en-US"/>
              </w:rPr>
              <w:t xml:space="preserve">codon-optimized and his-tagged stilbene synthase </w:t>
            </w:r>
            <w:r w:rsidRPr="008441F8">
              <w:rPr>
                <w:i/>
                <w:lang w:val="en-US"/>
              </w:rPr>
              <w:t>AhSTS</w:t>
            </w:r>
            <w:r w:rsidRPr="008441F8">
              <w:rPr>
                <w:lang w:val="en-US"/>
              </w:rPr>
              <w:t xml:space="preserve"> (UniProt: Q9SLV5)</w:t>
            </w:r>
          </w:p>
          <w:p w14:paraId="0C68498E" w14:textId="77777777" w:rsidR="00AE654E" w:rsidRPr="008441F8" w:rsidRDefault="00AE654E" w:rsidP="000165F5">
            <w:pPr>
              <w:jc w:val="both"/>
              <w:rPr>
                <w:lang w:val="en-US"/>
              </w:rPr>
            </w:pPr>
            <w:r w:rsidRPr="008441F8">
              <w:rPr>
                <w:lang w:val="en-US"/>
              </w:rPr>
              <w:t xml:space="preserve">from </w:t>
            </w:r>
            <w:r w:rsidRPr="008441F8">
              <w:rPr>
                <w:i/>
                <w:lang w:val="en-US"/>
              </w:rPr>
              <w:t>Arachis hypogaea</w:t>
            </w:r>
          </w:p>
        </w:tc>
      </w:tr>
      <w:tr w:rsidR="00AE654E" w:rsidRPr="00B84A00" w14:paraId="20B10660" w14:textId="77777777" w:rsidTr="005B7F65">
        <w:trPr>
          <w:cantSplit/>
          <w:trHeight w:val="1134"/>
        </w:trPr>
        <w:tc>
          <w:tcPr>
            <w:tcW w:w="1134" w:type="dxa"/>
            <w:tcBorders>
              <w:top w:val="single" w:sz="4" w:space="0" w:color="auto"/>
              <w:bottom w:val="single" w:sz="4" w:space="0" w:color="auto"/>
            </w:tcBorders>
          </w:tcPr>
          <w:p w14:paraId="35EE0649" w14:textId="77777777" w:rsidR="00AE654E" w:rsidRPr="008441F8" w:rsidRDefault="00AE654E" w:rsidP="000165F5">
            <w:pPr>
              <w:jc w:val="both"/>
              <w:rPr>
                <w:i/>
                <w:lang w:val="en-US"/>
              </w:rPr>
            </w:pPr>
            <w:r w:rsidRPr="008441F8">
              <w:rPr>
                <w:i/>
                <w:lang w:val="en-US"/>
              </w:rPr>
              <w:t>StsTAL</w:t>
            </w:r>
          </w:p>
        </w:tc>
        <w:tc>
          <w:tcPr>
            <w:tcW w:w="7088" w:type="dxa"/>
            <w:tcBorders>
              <w:top w:val="single" w:sz="4" w:space="0" w:color="auto"/>
              <w:bottom w:val="single" w:sz="4" w:space="0" w:color="auto"/>
            </w:tcBorders>
            <w:vAlign w:val="center"/>
          </w:tcPr>
          <w:p w14:paraId="0773ECE6" w14:textId="77777777" w:rsidR="00AE654E" w:rsidRPr="008441F8" w:rsidRDefault="00AE654E" w:rsidP="000165F5">
            <w:pPr>
              <w:jc w:val="both"/>
              <w:rPr>
                <w:lang w:val="en-US"/>
              </w:rPr>
            </w:pPr>
            <w:r w:rsidRPr="008441F8">
              <w:rPr>
                <w:lang w:val="en-US"/>
              </w:rPr>
              <w:t>ATGCCGAGCCTGGACTCCATCGTTGAGGCCGCGAGCTGGACTGCCAAGTTGGGCCCCCTCACTGACGCGGACGTCGCTCGCATGGATCGCTCGGGGGCCACCGTTGATGCCTACCTGGCTGAGGGTCGTCCTGTATATGGTCTGACGCAGGGCTTCGGCCCGCTGGTTACCTATAGCGCTACCTCGGAGATGGAGCAAGGCGCGAGCCTGATCAGCCATCTGGGCACTGCGCAGGGGCGTCCTATCGACCCCGATGCGTCGCGCCTGGTCTTCTGGCTGCGCCTCAACAGTATGCGTAAGGGCTTCAGCGCAGTCTCGACCGAGTTTTGGCAACGTCTGGCTGACCTGTGGAACGCCGGCTTTACTCCTGTAATCCCCCGCGACGGCACTGTGAGTGCAAGCGGTGACTTGCAGCCCTTGGCTCACGTGGCGCTGGCCTGCGCCGGTCATGGCGAAGCCTGGGTGCGCGATGAACAGGATCGTTGGACCCGTCGCCCAGCAGCTGAAGCACTGGCTGGTCTGGGTGCTGAACCGCTGGTGTGGCCCGTCCGCGAGGCGCTGGCATTCGTAAACGGCACCGGTGTAGGCTTGGCCGTCGCCATCTTGAACCAGCGCTCCGCTGTGCGTCTGGTGCGTGCTGTGGCGACTCTGACCGCACGTTTGACCGACCTGTTGGGCGGCAATGCCGAACACTACGATGAAGGTGTGGGTCAAGCCCGTAATCAGCTGGGCCAGTTGGAAGTAGCGCGCTGGATCCGCGCCGAAATCCCTGCCGGTCATCGGCGTGATGAGCGTCGGCCCCTGCAAGAGCCGTATAGTCTGCGCTGCGCCCCGCAGGTACTGGGCGCAGTCCTGGACCAACTGACCACTGCCGGTGAGATCCTCCTGCGCGAGGCCAACGGTTGTACCGACAATCCCTTGACCTACGAGGACCGCGTTCTCCACGCGGGTAACTTCCATGCCATGCCCGTTGGCTTCGCGAGCGAGCAGACGGGGCTGGCCATGCACATGGCCGCGTACCTCGCCGAACGTCAGTTGGGGCTGGTGGTGAATCCGACGACCAACGGCGACCTGCCGATCATGCTGACCCCACGCGCTGGGCGTGGTTGTGGCCTGGCTGGTGTACAAATTAGCGCGACCAGCTTTATCAGTCGCATCCGCCAACTGGTGACCCCGGCCTCGCTGACCACCCTCCCGACGAACGGCTGGAACCAGGACCATGTGCCAATGGCTCTCAATGGTGCAAACGGCGTCGGCGAAGCGTTGGAGCTGGGCTGGTTGGCAGTAGGTAGTCTGGCCTTGGCGGCTGCCCAATTGGCCGTCATGACTGGCAAAGCTGAGAGTGCCACCGGTGTCTGGGCGGAGCTGGCCCGCATTAGCCCGGCACTCGACGCAGACCGCCCCATGGCTGGCGAAGTCCGTGCCGCTGCGGAACTGTTCCGCGATCACGCTGAACGCCAGTTGACGGGTGCGGCCTAA</w:t>
            </w:r>
          </w:p>
        </w:tc>
        <w:tc>
          <w:tcPr>
            <w:tcW w:w="975" w:type="dxa"/>
            <w:tcBorders>
              <w:top w:val="single" w:sz="4" w:space="0" w:color="auto"/>
              <w:bottom w:val="single" w:sz="4" w:space="0" w:color="auto"/>
            </w:tcBorders>
            <w:textDirection w:val="btLr"/>
          </w:tcPr>
          <w:p w14:paraId="0553E6E2" w14:textId="77777777" w:rsidR="00AE654E" w:rsidRPr="008441F8" w:rsidRDefault="00AE654E" w:rsidP="000165F5">
            <w:pPr>
              <w:jc w:val="both"/>
              <w:rPr>
                <w:lang w:val="en-US"/>
              </w:rPr>
            </w:pPr>
            <w:r w:rsidRPr="008441F8">
              <w:rPr>
                <w:lang w:val="en-US"/>
              </w:rPr>
              <w:t xml:space="preserve">codon-optimized tyrosine ammonia lyase </w:t>
            </w:r>
            <w:r w:rsidRPr="008441F8">
              <w:rPr>
                <w:i/>
                <w:iCs/>
                <w:lang w:val="en-US"/>
              </w:rPr>
              <w:t>StsTAL</w:t>
            </w:r>
            <w:r w:rsidRPr="008441F8">
              <w:rPr>
                <w:lang w:val="en-US"/>
              </w:rPr>
              <w:t xml:space="preserve"> (Uniprot: A0A0X3WEK2)</w:t>
            </w:r>
          </w:p>
          <w:p w14:paraId="7ECD2FD5" w14:textId="77777777" w:rsidR="00AE654E" w:rsidRPr="008441F8" w:rsidRDefault="00AE654E" w:rsidP="000165F5">
            <w:pPr>
              <w:jc w:val="both"/>
              <w:rPr>
                <w:lang w:val="en-US"/>
              </w:rPr>
            </w:pPr>
            <w:r w:rsidRPr="008441F8">
              <w:rPr>
                <w:lang w:val="en-US"/>
              </w:rPr>
              <w:t xml:space="preserve">from </w:t>
            </w:r>
            <w:r w:rsidRPr="008441F8">
              <w:rPr>
                <w:i/>
                <w:iCs/>
                <w:lang w:val="en-US"/>
              </w:rPr>
              <w:t>Streptomyces sp</w:t>
            </w:r>
            <w:r w:rsidRPr="008441F8">
              <w:rPr>
                <w:lang w:val="en-US"/>
              </w:rPr>
              <w:t>. NRRL F-4489</w:t>
            </w:r>
          </w:p>
        </w:tc>
      </w:tr>
      <w:tr w:rsidR="00AE654E" w:rsidRPr="008441F8" w14:paraId="6A9F1695" w14:textId="77777777" w:rsidTr="005B7F65">
        <w:trPr>
          <w:cantSplit/>
          <w:trHeight w:val="1134"/>
        </w:trPr>
        <w:tc>
          <w:tcPr>
            <w:tcW w:w="1134" w:type="dxa"/>
            <w:tcBorders>
              <w:top w:val="single" w:sz="4" w:space="0" w:color="auto"/>
              <w:bottom w:val="single" w:sz="4" w:space="0" w:color="auto"/>
            </w:tcBorders>
          </w:tcPr>
          <w:p w14:paraId="424E5E6D" w14:textId="77777777" w:rsidR="00AE654E" w:rsidRPr="008441F8" w:rsidRDefault="00AE654E" w:rsidP="000165F5">
            <w:pPr>
              <w:jc w:val="both"/>
              <w:rPr>
                <w:i/>
                <w:lang w:val="en-US"/>
              </w:rPr>
            </w:pPr>
            <w:r w:rsidRPr="008441F8">
              <w:rPr>
                <w:i/>
                <w:lang w:val="en-US"/>
              </w:rPr>
              <w:t>SgRppA</w:t>
            </w:r>
          </w:p>
        </w:tc>
        <w:tc>
          <w:tcPr>
            <w:tcW w:w="7088" w:type="dxa"/>
            <w:tcBorders>
              <w:top w:val="single" w:sz="4" w:space="0" w:color="auto"/>
              <w:bottom w:val="single" w:sz="4" w:space="0" w:color="auto"/>
            </w:tcBorders>
            <w:vAlign w:val="center"/>
          </w:tcPr>
          <w:p w14:paraId="5389555C" w14:textId="77777777" w:rsidR="00AE654E" w:rsidRPr="008441F8" w:rsidRDefault="00AE654E" w:rsidP="000165F5">
            <w:pPr>
              <w:jc w:val="both"/>
              <w:rPr>
                <w:lang w:val="en-US"/>
              </w:rPr>
            </w:pPr>
            <w:r w:rsidRPr="008441F8">
              <w:rPr>
                <w:lang w:val="en-US"/>
              </w:rPr>
              <w:t>tgctaaggaggttttctaATGGCCACGCTGTGCCGTCCTGCCATTGCCGTCCCGGAACATGTGATCACCATGCAGCAGACCCTCGATCTGGCGCGCGAAACCCACGCTGGCCACCCGCAGCGGGACCTGGTCCTGCGCCTGATCCAGAACACCGGCGTCCAGACCCGCCACTTGGTGCAACCGATCGAGAAAACCCTGGCCCATCCCGGCTTCGAAGTGCGTAACCAAGTGTACGAGGCGGAGGCCAAAACGCGTGTGCCGGAGGTTGTACGTCGGGCTTTGGCGAACGCGGAAACGGAACCGAGCGAAATCGACCTGATCGTCTACGTGTCGTGCACCGGCTTCATGATGCCGTCGCTGACCGCCTGGATCATCAATTCCATGGGCTTTCGCCCCGAGACCCGTCAGCTGCCTATCGCTCAGCTGGGCTGCGCAGCCGGTGGCGCTGCGATCAACCGCGCCCACGATTTCTGTGTCGCATATCCGGATAGCAACGTCTTGATCGTCAGCTGTGAGTTCTGCTCCCTGTGCTACCAGCCTACCGATATCGGTGTCGGCTCCCTGCTGAGTAACGGCCTGTTCGGCGACGCACTGAGCGCGGCAGTGGTGCGTGGTCAGGGCGGGACCGGTATGCGCCTGGAGCGCAATGGCAGTCACCTCGTTCCCGACACCGAGGACTGGATCTCCTACGCCGTCCGCGATACCGGGTTCCACTTCCAGCTGGACAAGCGCGTGCCCGGCACCATGGAAATGCTGGCCCCCGTCCTCCTGGATCTGGTGGATCTGCACGGTTGGAGCGTGCCGAACATGGACTTCTTCATCGTACACGCGGGCGGCCCACGCATCCTGGACGATCTGTGCCACTTCCTCGACCTGCCCCCGGAGATGTTCCGGTATAGCCGCGCCACCCTGACTGAGCGGGGCAACATCGCCTCGTCCGTGGTGTTTGATGCCCTGGCACGCCTGTTCGACGATGGCGGGGCCGCCGAGTCGGCCCAGGGCCTGATCGCTGGCTTCGGCCCTGG</w:t>
            </w:r>
            <w:r w:rsidRPr="008441F8">
              <w:rPr>
                <w:lang w:val="en-US"/>
              </w:rPr>
              <w:lastRenderedPageBreak/>
              <w:t>CATCACCGCCGAGGTAGCCGTTGGCTCCTGGGCAAAGGAGGGGCTGGGCGCAGATGTGGGTCGCGACCTGGATGAGTTGGAGCTGACCGCGGGCGTCGCCCTGTCCGGCTAAagaattcgagctcggta</w:t>
            </w:r>
          </w:p>
        </w:tc>
        <w:tc>
          <w:tcPr>
            <w:tcW w:w="975" w:type="dxa"/>
            <w:tcBorders>
              <w:top w:val="single" w:sz="4" w:space="0" w:color="auto"/>
              <w:bottom w:val="single" w:sz="4" w:space="0" w:color="auto"/>
            </w:tcBorders>
            <w:textDirection w:val="btLr"/>
          </w:tcPr>
          <w:p w14:paraId="569C9B7D" w14:textId="77777777" w:rsidR="00AE654E" w:rsidRPr="008441F8" w:rsidRDefault="00AE654E" w:rsidP="000165F5">
            <w:pPr>
              <w:jc w:val="both"/>
              <w:rPr>
                <w:lang w:val="en-US"/>
              </w:rPr>
            </w:pPr>
            <w:r w:rsidRPr="008441F8">
              <w:rPr>
                <w:lang w:val="en-US"/>
              </w:rPr>
              <w:lastRenderedPageBreak/>
              <w:t xml:space="preserve">codon-optimized 1,3,6,8-tetrahydroxynaphthalene synthase </w:t>
            </w:r>
            <w:r w:rsidRPr="008441F8">
              <w:rPr>
                <w:i/>
                <w:lang w:val="en-US"/>
              </w:rPr>
              <w:t>SgRppA</w:t>
            </w:r>
            <w:r w:rsidRPr="008441F8">
              <w:rPr>
                <w:lang w:val="en-US"/>
              </w:rPr>
              <w:t xml:space="preserve"> (UniProt: Q54240)</w:t>
            </w:r>
          </w:p>
          <w:p w14:paraId="5105E7EC" w14:textId="77777777" w:rsidR="00AE654E" w:rsidRPr="008441F8" w:rsidRDefault="00AE654E" w:rsidP="000165F5">
            <w:pPr>
              <w:jc w:val="both"/>
              <w:rPr>
                <w:lang w:val="en-US"/>
              </w:rPr>
            </w:pPr>
            <w:r w:rsidRPr="008441F8">
              <w:rPr>
                <w:lang w:val="en-US"/>
              </w:rPr>
              <w:t xml:space="preserve">from </w:t>
            </w:r>
            <w:r w:rsidRPr="008441F8">
              <w:rPr>
                <w:i/>
                <w:lang w:val="en-US"/>
              </w:rPr>
              <w:t>Streptomyces griseus</w:t>
            </w:r>
          </w:p>
        </w:tc>
      </w:tr>
    </w:tbl>
    <w:p w14:paraId="743247C3" w14:textId="77777777" w:rsidR="00AE654E" w:rsidRPr="008441F8" w:rsidRDefault="00AE654E" w:rsidP="00B84A00">
      <w:pPr>
        <w:spacing w:line="276" w:lineRule="auto"/>
        <w:jc w:val="both"/>
        <w:rPr>
          <w:lang w:val="en-US"/>
        </w:rPr>
      </w:pPr>
    </w:p>
    <w:p w14:paraId="47F80AC9" w14:textId="77777777" w:rsidR="00AE654E" w:rsidRPr="008441F8" w:rsidRDefault="00AE654E" w:rsidP="00B84A00">
      <w:pPr>
        <w:pStyle w:val="berschrift2"/>
        <w:spacing w:line="276" w:lineRule="auto"/>
        <w:rPr>
          <w:lang w:val="en-US"/>
        </w:rPr>
      </w:pPr>
      <w:bookmarkStart w:id="9" w:name="_Toc132047262"/>
      <w:r w:rsidRPr="008441F8">
        <w:rPr>
          <w:b/>
          <w:lang w:val="en-US"/>
        </w:rPr>
        <w:t xml:space="preserve">Supplement S5: </w:t>
      </w:r>
      <w:r w:rsidRPr="008441F8">
        <w:rPr>
          <w:lang w:val="en-US"/>
        </w:rPr>
        <w:t>Calibration Growth Profiler</w:t>
      </w:r>
      <w:bookmarkEnd w:id="9"/>
    </w:p>
    <w:p w14:paraId="11C2A01B" w14:textId="77777777" w:rsidR="00AE654E" w:rsidRPr="008441F8" w:rsidRDefault="00AE654E" w:rsidP="00B84A00">
      <w:pPr>
        <w:spacing w:line="276" w:lineRule="auto"/>
        <w:jc w:val="both"/>
        <w:rPr>
          <w:lang w:val="en-US"/>
        </w:rPr>
      </w:pPr>
      <w:r w:rsidRPr="008441F8">
        <w:rPr>
          <w:lang w:val="en-US"/>
        </w:rPr>
        <w:t>The following function was used to convert green values into an OD</w:t>
      </w:r>
      <w:r w:rsidRPr="008441F8">
        <w:rPr>
          <w:vertAlign w:val="subscript"/>
          <w:lang w:val="en-US"/>
        </w:rPr>
        <w:t>600</w:t>
      </w:r>
      <w:r w:rsidRPr="008441F8">
        <w:rPr>
          <w:lang w:val="en-US"/>
        </w:rPr>
        <w:t xml:space="preserve"> equivalent: </w:t>
      </w:r>
    </w:p>
    <w:p w14:paraId="7284F28A" w14:textId="77777777" w:rsidR="00AE654E" w:rsidRPr="008441F8" w:rsidRDefault="00AE654E" w:rsidP="00B84A00">
      <w:pPr>
        <w:spacing w:line="276" w:lineRule="auto"/>
        <w:jc w:val="both"/>
        <w:rPr>
          <w:lang w:val="en-US"/>
        </w:rPr>
      </w:pPr>
      <w:r w:rsidRPr="008441F8">
        <w:rPr>
          <w:lang w:val="en-US"/>
        </w:rPr>
        <w:t>OD</w:t>
      </w:r>
      <w:r w:rsidRPr="008441F8">
        <w:rPr>
          <w:vertAlign w:val="subscript"/>
          <w:lang w:val="en-US"/>
        </w:rPr>
        <w:t>600</w:t>
      </w:r>
      <w:r w:rsidRPr="008441F8">
        <w:rPr>
          <w:lang w:val="en-US"/>
        </w:rPr>
        <w:t xml:space="preserve"> equivalent = a * (gValue – gBlank)</w:t>
      </w:r>
      <w:r w:rsidRPr="008441F8">
        <w:rPr>
          <w:vertAlign w:val="superscript"/>
          <w:lang w:val="en-US"/>
        </w:rPr>
        <w:t>b</w:t>
      </w:r>
      <w:r w:rsidRPr="008441F8">
        <w:rPr>
          <w:lang w:val="en-US"/>
        </w:rPr>
        <w:t xml:space="preserve"> + c * (gValue – gBlank)</w:t>
      </w:r>
      <w:r w:rsidRPr="008441F8">
        <w:rPr>
          <w:vertAlign w:val="superscript"/>
          <w:lang w:val="en-US"/>
        </w:rPr>
        <w:t>d</w:t>
      </w:r>
      <w:r w:rsidRPr="008441F8">
        <w:rPr>
          <w:lang w:val="en-US"/>
        </w:rPr>
        <w:t xml:space="preserve"> + e * (gValue – gBlank)</w:t>
      </w:r>
      <w:r w:rsidRPr="008441F8">
        <w:rPr>
          <w:vertAlign w:val="superscript"/>
          <w:lang w:val="en-US"/>
        </w:rPr>
        <w:t>f</w:t>
      </w:r>
      <w:r w:rsidRPr="008441F8">
        <w:rPr>
          <w:lang w:val="en-US"/>
        </w:rPr>
        <w:t xml:space="preserve"> </w:t>
      </w:r>
    </w:p>
    <w:p w14:paraId="715983F4" w14:textId="77777777" w:rsidR="00AE654E" w:rsidRPr="008441F8" w:rsidRDefault="00AE654E" w:rsidP="00B84A00">
      <w:pPr>
        <w:spacing w:line="276" w:lineRule="auto"/>
        <w:jc w:val="both"/>
        <w:rPr>
          <w:lang w:val="en-US"/>
        </w:rPr>
      </w:pPr>
      <w:r w:rsidRPr="008441F8">
        <w:rPr>
          <w:lang w:val="en-US"/>
        </w:rPr>
        <w:t>with a = 0.0305, b = 1, c = 8 * 10</w:t>
      </w:r>
      <w:r w:rsidRPr="008441F8">
        <w:rPr>
          <w:vertAlign w:val="superscript"/>
          <w:lang w:val="en-US"/>
        </w:rPr>
        <w:t>−8</w:t>
      </w:r>
      <w:r w:rsidRPr="008441F8">
        <w:rPr>
          <w:lang w:val="en-US"/>
        </w:rPr>
        <w:t>, d = 3.8, e = 1.77 * 10</w:t>
      </w:r>
      <w:r w:rsidRPr="008441F8">
        <w:rPr>
          <w:vertAlign w:val="superscript"/>
          <w:lang w:val="en-US"/>
        </w:rPr>
        <w:t>−13</w:t>
      </w:r>
      <w:r w:rsidRPr="008441F8">
        <w:rPr>
          <w:lang w:val="en-US"/>
        </w:rPr>
        <w:t xml:space="preserve">, f = 6.7 and gBlank = 18.787. Abbreviations: gValue, green value; gBlank, green value of reference medium. The calibration was performed for the </w:t>
      </w:r>
      <w:r w:rsidRPr="008441F8">
        <w:rPr>
          <w:i/>
          <w:lang w:val="en-US"/>
        </w:rPr>
        <w:t>P. taiwanensis</w:t>
      </w:r>
      <w:r w:rsidRPr="008441F8">
        <w:rPr>
          <w:lang w:val="en-US"/>
        </w:rPr>
        <w:t xml:space="preserve"> VLB120 wild type in half-deepwell microtiter plates (CR1496d, EnzyScreen) sealed with sandwich covers (CR1296c, EnzyScreen). </w:t>
      </w:r>
    </w:p>
    <w:p w14:paraId="1228102B" w14:textId="77777777" w:rsidR="00AE654E" w:rsidRPr="008441F8" w:rsidRDefault="00AE654E" w:rsidP="00B84A00">
      <w:pPr>
        <w:spacing w:line="276" w:lineRule="auto"/>
        <w:jc w:val="both"/>
        <w:rPr>
          <w:lang w:val="en-US"/>
        </w:rPr>
      </w:pPr>
    </w:p>
    <w:p w14:paraId="26010416" w14:textId="77777777" w:rsidR="00AE654E" w:rsidRPr="008441F8" w:rsidRDefault="00AE654E" w:rsidP="00B84A00">
      <w:pPr>
        <w:spacing w:line="276" w:lineRule="auto"/>
        <w:jc w:val="both"/>
        <w:rPr>
          <w:lang w:val="en-US"/>
        </w:rPr>
      </w:pPr>
      <w:r w:rsidRPr="008441F8">
        <w:rPr>
          <w:noProof/>
          <w:lang w:eastAsia="de-DE"/>
        </w:rPr>
        <w:drawing>
          <wp:inline distT="0" distB="0" distL="0" distR="0" wp14:anchorId="29EB0DEE" wp14:editId="39823030">
            <wp:extent cx="5731510" cy="2297430"/>
            <wp:effectExtent l="0" t="0" r="254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97430"/>
                    </a:xfrm>
                    <a:prstGeom prst="rect">
                      <a:avLst/>
                    </a:prstGeom>
                  </pic:spPr>
                </pic:pic>
              </a:graphicData>
            </a:graphic>
          </wp:inline>
        </w:drawing>
      </w:r>
    </w:p>
    <w:p w14:paraId="100677E4" w14:textId="77777777" w:rsidR="00AE654E" w:rsidRPr="008441F8" w:rsidRDefault="00AE654E" w:rsidP="00B84A00">
      <w:pPr>
        <w:pStyle w:val="berschrift2"/>
        <w:spacing w:line="276" w:lineRule="auto"/>
        <w:rPr>
          <w:b/>
          <w:lang w:val="en-US"/>
        </w:rPr>
      </w:pPr>
      <w:bookmarkStart w:id="10" w:name="_Toc132047263"/>
      <w:r w:rsidRPr="008441F8">
        <w:rPr>
          <w:rStyle w:val="berschrift2Zchn"/>
          <w:b/>
          <w:lang w:val="en-US"/>
        </w:rPr>
        <w:t>Figure S6: Flaviolin UV spectrum</w:t>
      </w:r>
      <w:r w:rsidRPr="008441F8">
        <w:rPr>
          <w:b/>
          <w:lang w:val="en-US"/>
        </w:rPr>
        <w:t>.</w:t>
      </w:r>
      <w:bookmarkEnd w:id="10"/>
      <w:r w:rsidRPr="008441F8">
        <w:rPr>
          <w:b/>
          <w:lang w:val="en-US"/>
        </w:rPr>
        <w:t xml:space="preserve"> </w:t>
      </w:r>
    </w:p>
    <w:p w14:paraId="63322CA2" w14:textId="77777777" w:rsidR="00AE654E" w:rsidRPr="008441F8" w:rsidRDefault="00AE654E" w:rsidP="00B84A00">
      <w:pPr>
        <w:spacing w:line="276" w:lineRule="auto"/>
        <w:jc w:val="both"/>
        <w:rPr>
          <w:lang w:val="en-US"/>
        </w:rPr>
      </w:pPr>
      <w:r w:rsidRPr="008441F8">
        <w:rPr>
          <w:lang w:val="en-US"/>
        </w:rPr>
        <w:t xml:space="preserve">UV spectrum of flaviolin peak in HPLC from supernatant at retention 8.933 min. Relative quantification by peak area occurred at 310 nm. Sample derives </w:t>
      </w:r>
      <w:r w:rsidRPr="008441F8">
        <w:rPr>
          <w:lang w:val="en-US"/>
        </w:rPr>
        <w:lastRenderedPageBreak/>
        <w:t>from supernatant of strain GRC3</w:t>
      </w:r>
      <w:r w:rsidRPr="008441F8">
        <w:rPr>
          <w:rFonts w:cstheme="minorHAnsi"/>
          <w:lang w:val="en-US"/>
        </w:rPr>
        <w:t>Δ</w:t>
      </w:r>
      <w:r w:rsidRPr="008441F8">
        <w:rPr>
          <w:lang w:val="en-US"/>
        </w:rPr>
        <w:t xml:space="preserve">6 MC-II </w:t>
      </w:r>
      <w:r w:rsidRPr="008441F8">
        <w:rPr>
          <w:i/>
          <w:lang w:val="en-US"/>
        </w:rPr>
        <w:t>attTn7</w:t>
      </w:r>
      <w:r w:rsidRPr="008441F8">
        <w:rPr>
          <w:lang w:val="en-US"/>
        </w:rPr>
        <w:t>::</w:t>
      </w:r>
      <w:r w:rsidRPr="008441F8">
        <w:rPr>
          <w:i/>
          <w:lang w:val="en-US"/>
        </w:rPr>
        <w:t>FRT</w:t>
      </w:r>
      <w:r w:rsidRPr="008441F8">
        <w:rPr>
          <w:lang w:val="en-US"/>
        </w:rPr>
        <w:t>-</w:t>
      </w:r>
      <w:r w:rsidRPr="008441F8">
        <w:rPr>
          <w:i/>
          <w:lang w:val="en-US"/>
        </w:rPr>
        <w:t>P</w:t>
      </w:r>
      <w:r w:rsidRPr="008441F8">
        <w:rPr>
          <w:i/>
          <w:vertAlign w:val="subscript"/>
          <w:lang w:val="en-US"/>
        </w:rPr>
        <w:t>14f</w:t>
      </w:r>
      <w:r w:rsidRPr="008441F8">
        <w:rPr>
          <w:lang w:val="en-US"/>
        </w:rPr>
        <w:t>-</w:t>
      </w:r>
      <w:r w:rsidRPr="008441F8">
        <w:rPr>
          <w:i/>
          <w:lang w:val="en-US"/>
        </w:rPr>
        <w:t>SgRppA</w:t>
      </w:r>
      <w:r w:rsidRPr="008441F8">
        <w:rPr>
          <w:lang w:val="en-US"/>
        </w:rPr>
        <w:t xml:space="preserve"> (strain #929). Reference spectrum for comparison is published by </w:t>
      </w:r>
      <w:r w:rsidRPr="008441F8">
        <w:rPr>
          <w:lang w:val="en-US"/>
        </w:rPr>
        <w:fldChar w:fldCharType="begin" w:fldLock="1"/>
      </w:r>
      <w:r w:rsidRPr="008441F8">
        <w:rPr>
          <w:lang w:val="en-US"/>
        </w:rPr>
        <w:instrText>ADDIN CSL_CITATION {"citationItems":[{"id":"ITEM-1","itemData":{"DOI":"10.1007/s00203-005-0059-3","ISSN":"03028933","abstract":"Type III polyketide synthases (PKS) were regarded as typical for plant secondary metabolism before they were found in microorganisms recently. Due to microbial genome sequencing efforts, more and more type III PKS are found, most of which of unknown function. In this manuscript, we report a comprehensive analysis of the phylogeny of bacterial type III PKS and report the expression of a type III PKS from the myxobacterium Sorangium cellulosum in pseudomonads. There is no precedent of a secondary metabolite that might be biosynthetically correlated to a type III PKS from any myxobacterium. Additionally, an inactivation mutant of the S. cellulosum gene shows no physiological difference compared to the wild-type strain which is why these type III PKS are assumed to be \"silent\" under the laboratory conditions administered. One type III PKS (SoceCHS1) was expressed in different Pseudomonas sp. after the heterologous expression in Escherichia coli failed. Cultures of recombinant Pseudomonas sp. harbouring SoceCHS1 turned red upon incubation and the diffusible pigment formed was identified as 2,5,7-trihydroxy-1,4-naphthoquinone, the autooxidation product of 1,3,6,8-tetrahydroxynaphthalene. The successful heterologous production of a secondary metabolite using a gene not expressed under administered laboratory conditions provides evidence for the usefulness of our approach to activate such secondary metabolite genes for the production of novel metabolites. © Springer-Verlag 2006.","author":[{"dropping-particle":"","family":"Gross","given":"Frank","non-dropping-particle":"","parse-names":false,"suffix":""},{"dropping-particle":"","family":"Luniak","given":"Nora","non-dropping-particle":"","parse-names":false,"suffix":""},{"dropping-particle":"","family":"Perlova","given":"Olena","non-dropping-particle":"","parse-names":false,"suffix":""},{"dropping-particle":"","family":"Gaitatzis","given":"Nikolaos","non-dropping-particle":"","parse-names":false,"suffix":""},{"dropping-particle":"","family":"Jenke-Kodama","given":"Holger","non-dropping-particle":"","parse-names":false,"suffix":""},{"dropping-particle":"","family":"Gerth","given":"Klaus","non-dropping-particle":"","parse-names":false,"suffix":""},{"dropping-particle":"","family":"Gottschalk","given":"Daniela","non-dropping-particle":"","parse-names":false,"suffix":""},{"dropping-particle":"","family":"Dittmann","given":"Elke","non-dropping-particle":"","parse-names":false,"suffix":""},{"dropping-particle":"","family":"Müller","given":"Rolf","non-dropping-particle":"","parse-names":false,"suffix":""}],"container-title":"Archives of Microbiology","id":"ITEM-1","issue":"1","issued":{"date-parts":[["2006"]]},"note":"Test of different Pseudomonas strains for SoCeCHS1 revealed differences of the strains in producing flaviolin.\n\nUV spectrum of flaviolin in Fig 3","page":"28-38","title":"Bacterial type III polyketide synthases: Phylogenetic analysis and potential for the production of novel secondary metabolites by heterologous expression in pseudomonads","type":"article-journal","volume":"185"},"uris":["http://www.mendeley.com/documents/?uuid=86bf55d7-1595-486a-b74b-f104d9076f91"]}],"mendeley":{"formattedCitation":"(Gross et al., 2006)","manualFormatting":"Gross et al. (2006)","plainTextFormattedCitation":"(Gross et al., 2006)","previouslyFormattedCitation":"(Gross et al., 2006)"},"properties":{"noteIndex":0},"schema":"https://github.com/citation-style-language/schema/raw/master/csl-citation.json"}</w:instrText>
      </w:r>
      <w:r w:rsidRPr="008441F8">
        <w:rPr>
          <w:lang w:val="en-US"/>
        </w:rPr>
        <w:fldChar w:fldCharType="separate"/>
      </w:r>
      <w:r w:rsidRPr="008441F8">
        <w:rPr>
          <w:noProof/>
          <w:lang w:val="en-US"/>
        </w:rPr>
        <w:t>Gross et al. (2006)</w:t>
      </w:r>
      <w:r w:rsidRPr="008441F8">
        <w:rPr>
          <w:lang w:val="en-US"/>
        </w:rPr>
        <w:fldChar w:fldCharType="end"/>
      </w:r>
    </w:p>
    <w:p w14:paraId="16E735A5" w14:textId="77777777" w:rsidR="00AE654E" w:rsidRPr="008441F8" w:rsidRDefault="00AE654E" w:rsidP="00B84A00">
      <w:pPr>
        <w:spacing w:line="276" w:lineRule="auto"/>
        <w:jc w:val="center"/>
        <w:rPr>
          <w:lang w:val="en-US"/>
        </w:rPr>
      </w:pPr>
      <w:r w:rsidRPr="008441F8">
        <w:rPr>
          <w:noProof/>
          <w:lang w:eastAsia="de-DE"/>
        </w:rPr>
        <w:drawing>
          <wp:inline distT="0" distB="0" distL="0" distR="0" wp14:anchorId="527F7B47" wp14:editId="7FA92476">
            <wp:extent cx="5554980" cy="377902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5243" cy="3792806"/>
                    </a:xfrm>
                    <a:prstGeom prst="rect">
                      <a:avLst/>
                    </a:prstGeom>
                    <a:noFill/>
                  </pic:spPr>
                </pic:pic>
              </a:graphicData>
            </a:graphic>
          </wp:inline>
        </w:drawing>
      </w:r>
    </w:p>
    <w:p w14:paraId="3F01B8E8" w14:textId="77777777" w:rsidR="00AE654E" w:rsidRPr="008441F8" w:rsidRDefault="00AE654E" w:rsidP="00B84A00">
      <w:pPr>
        <w:pStyle w:val="berschrift2"/>
        <w:spacing w:line="276" w:lineRule="auto"/>
        <w:rPr>
          <w:lang w:val="en-US"/>
        </w:rPr>
      </w:pPr>
      <w:bookmarkStart w:id="11" w:name="_Toc132047264"/>
      <w:r w:rsidRPr="008441F8">
        <w:rPr>
          <w:rStyle w:val="berschrift2Zchn"/>
          <w:b/>
          <w:lang w:val="en-US"/>
        </w:rPr>
        <w:t>Figure S7:</w:t>
      </w:r>
      <w:bookmarkEnd w:id="11"/>
      <w:r w:rsidRPr="008441F8">
        <w:rPr>
          <w:lang w:val="en-US"/>
        </w:rPr>
        <w:t xml:space="preserve"> </w:t>
      </w:r>
    </w:p>
    <w:p w14:paraId="401F7E70" w14:textId="77777777" w:rsidR="00AE654E" w:rsidRPr="008441F8" w:rsidRDefault="00AE654E" w:rsidP="00B84A00">
      <w:pPr>
        <w:pStyle w:val="KeinLeerraum"/>
        <w:spacing w:line="276" w:lineRule="auto"/>
        <w:jc w:val="both"/>
        <w:rPr>
          <w:lang w:val="en-US"/>
        </w:rPr>
      </w:pPr>
      <w:r w:rsidRPr="008441F8">
        <w:rPr>
          <w:lang w:val="en-US"/>
        </w:rPr>
        <w:t>Absorbance spectrum and picture of culture supernatant with secreted flaviolin. Addition of 50 µL 1 M HCl for acidification, 50 µL H</w:t>
      </w:r>
      <w:r w:rsidRPr="008441F8">
        <w:rPr>
          <w:vertAlign w:val="subscript"/>
          <w:lang w:val="en-US"/>
        </w:rPr>
        <w:t>2</w:t>
      </w:r>
      <w:r w:rsidRPr="008441F8">
        <w:rPr>
          <w:lang w:val="en-US"/>
        </w:rPr>
        <w:t>O for unmodified at pH 7 or 50 µL 1 M NaOH for basic conditions in 950 µL supernatant and mineral salts medium with 1-fold buffer as control. Absorption at 340 nm is indicated.</w:t>
      </w:r>
    </w:p>
    <w:p w14:paraId="13426695" w14:textId="77777777" w:rsidR="00AE654E" w:rsidRPr="008441F8" w:rsidRDefault="00AE654E" w:rsidP="00B84A00">
      <w:pPr>
        <w:spacing w:line="276" w:lineRule="auto"/>
        <w:jc w:val="both"/>
        <w:rPr>
          <w:lang w:val="en-US"/>
        </w:rPr>
      </w:pPr>
    </w:p>
    <w:p w14:paraId="75661813" w14:textId="77777777" w:rsidR="00AE654E" w:rsidRPr="008441F8" w:rsidRDefault="00AE654E" w:rsidP="00B84A00">
      <w:pPr>
        <w:spacing w:line="276" w:lineRule="auto"/>
        <w:jc w:val="both"/>
        <w:rPr>
          <w:lang w:val="en-US"/>
        </w:rPr>
      </w:pPr>
      <w:r w:rsidRPr="008441F8">
        <w:rPr>
          <w:noProof/>
          <w:lang w:eastAsia="de-DE"/>
        </w:rPr>
        <w:lastRenderedPageBreak/>
        <w:drawing>
          <wp:inline distT="0" distB="0" distL="0" distR="0" wp14:anchorId="16E8C29F" wp14:editId="7A7F1C0F">
            <wp:extent cx="5245100" cy="347792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6975" cy="3485803"/>
                    </a:xfrm>
                    <a:prstGeom prst="rect">
                      <a:avLst/>
                    </a:prstGeom>
                    <a:noFill/>
                    <a:ln>
                      <a:noFill/>
                    </a:ln>
                  </pic:spPr>
                </pic:pic>
              </a:graphicData>
            </a:graphic>
          </wp:inline>
        </w:drawing>
      </w:r>
    </w:p>
    <w:p w14:paraId="68B688B6" w14:textId="77777777" w:rsidR="00AE654E" w:rsidRPr="008441F8" w:rsidRDefault="00AE654E" w:rsidP="00B84A00">
      <w:pPr>
        <w:pStyle w:val="berschrift2"/>
        <w:spacing w:line="276" w:lineRule="auto"/>
        <w:rPr>
          <w:bCs/>
          <w:lang w:val="en-US"/>
        </w:rPr>
      </w:pPr>
      <w:bookmarkStart w:id="12" w:name="_Toc132047265"/>
      <w:r w:rsidRPr="008441F8">
        <w:rPr>
          <w:rStyle w:val="berschrift2Zchn"/>
          <w:b/>
          <w:lang w:val="en-US"/>
        </w:rPr>
        <w:t>Figure S8:</w:t>
      </w:r>
      <w:bookmarkEnd w:id="12"/>
      <w:r w:rsidRPr="008441F8">
        <w:rPr>
          <w:bCs/>
          <w:lang w:val="en-US"/>
        </w:rPr>
        <w:t xml:space="preserve"> </w:t>
      </w:r>
    </w:p>
    <w:p w14:paraId="3DA7990A" w14:textId="77777777" w:rsidR="00AE654E" w:rsidRPr="008441F8" w:rsidRDefault="00AE654E" w:rsidP="00B84A00">
      <w:pPr>
        <w:spacing w:line="276" w:lineRule="auto"/>
        <w:jc w:val="both"/>
        <w:rPr>
          <w:lang w:val="en-US"/>
        </w:rPr>
      </w:pPr>
      <w:r w:rsidRPr="008441F8">
        <w:rPr>
          <w:bCs/>
          <w:lang w:val="en-US"/>
        </w:rPr>
        <w:t>Remaining pinosylvin in culture supernatant after 4 days of cultivation.</w:t>
      </w:r>
      <w:r w:rsidRPr="008441F8">
        <w:rPr>
          <w:lang w:val="en-US"/>
        </w:rPr>
        <w:t xml:space="preserve"> Initially applied pinosylvin concentrations are indicated at the x-axis. Error bars represent the standard deviation (n=3).</w:t>
      </w:r>
    </w:p>
    <w:p w14:paraId="61A6F630" w14:textId="77777777" w:rsidR="00AE654E" w:rsidRPr="008441F8" w:rsidRDefault="00AE654E" w:rsidP="00B84A00">
      <w:pPr>
        <w:spacing w:line="276" w:lineRule="auto"/>
        <w:rPr>
          <w:lang w:val="en-US"/>
        </w:rPr>
      </w:pPr>
    </w:p>
    <w:p w14:paraId="5D3F7C4F" w14:textId="77777777" w:rsidR="00AE654E" w:rsidRPr="008441F8" w:rsidRDefault="00AE654E" w:rsidP="00B84A00">
      <w:pPr>
        <w:spacing w:line="276" w:lineRule="auto"/>
        <w:jc w:val="both"/>
        <w:rPr>
          <w:lang w:val="en-US"/>
        </w:rPr>
      </w:pPr>
      <w:r w:rsidRPr="008441F8">
        <w:rPr>
          <w:noProof/>
          <w:lang w:eastAsia="de-DE"/>
        </w:rPr>
        <w:drawing>
          <wp:inline distT="0" distB="0" distL="0" distR="0" wp14:anchorId="79646488" wp14:editId="1B71A3A1">
            <wp:extent cx="3814445" cy="297497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4445" cy="2974975"/>
                    </a:xfrm>
                    <a:prstGeom prst="rect">
                      <a:avLst/>
                    </a:prstGeom>
                    <a:noFill/>
                    <a:ln>
                      <a:noFill/>
                    </a:ln>
                  </pic:spPr>
                </pic:pic>
              </a:graphicData>
            </a:graphic>
          </wp:inline>
        </w:drawing>
      </w:r>
    </w:p>
    <w:p w14:paraId="6790B99D" w14:textId="77777777" w:rsidR="00AE654E" w:rsidRPr="008441F8" w:rsidRDefault="00AE654E" w:rsidP="00B84A00">
      <w:pPr>
        <w:pStyle w:val="berschrift2"/>
        <w:spacing w:line="276" w:lineRule="auto"/>
        <w:rPr>
          <w:lang w:val="en-US"/>
        </w:rPr>
      </w:pPr>
      <w:bookmarkStart w:id="13" w:name="_Toc132047266"/>
      <w:r w:rsidRPr="008441F8">
        <w:rPr>
          <w:rStyle w:val="berschrift2Zchn"/>
          <w:b/>
          <w:lang w:val="en-US"/>
        </w:rPr>
        <w:lastRenderedPageBreak/>
        <w:t>Figure S9</w:t>
      </w:r>
      <w:r w:rsidRPr="008441F8">
        <w:rPr>
          <w:b/>
          <w:lang w:val="en-US"/>
        </w:rPr>
        <w:t>:</w:t>
      </w:r>
      <w:bookmarkEnd w:id="13"/>
      <w:r w:rsidRPr="008441F8">
        <w:rPr>
          <w:lang w:val="en-US"/>
        </w:rPr>
        <w:t xml:space="preserve"> </w:t>
      </w:r>
    </w:p>
    <w:p w14:paraId="362DB0D9" w14:textId="77777777" w:rsidR="00AE654E" w:rsidRPr="008441F8" w:rsidRDefault="00AE654E" w:rsidP="00B84A00">
      <w:pPr>
        <w:spacing w:line="276" w:lineRule="auto"/>
        <w:jc w:val="both"/>
        <w:rPr>
          <w:lang w:val="en-US"/>
        </w:rPr>
      </w:pPr>
      <w:r w:rsidRPr="008441F8">
        <w:rPr>
          <w:lang w:val="en-US"/>
        </w:rPr>
        <w:t xml:space="preserve">Absorbance at 340 nm of culture supernatants of flaviolin producer </w:t>
      </w:r>
      <w:r w:rsidRPr="008441F8">
        <w:rPr>
          <w:rFonts w:cs="Times New Roman"/>
          <w:color w:val="000000" w:themeColor="text1"/>
          <w:lang w:val="en-US"/>
        </w:rPr>
        <w:t xml:space="preserve">GRC3 </w:t>
      </w:r>
      <w:r w:rsidRPr="008441F8">
        <w:rPr>
          <w:rFonts w:cstheme="minorHAnsi"/>
          <w:color w:val="000000" w:themeColor="text1"/>
          <w:lang w:val="en-US"/>
        </w:rPr>
        <w:t xml:space="preserve">Δ6 </w:t>
      </w:r>
      <w:r w:rsidRPr="008441F8">
        <w:rPr>
          <w:rFonts w:cs="Times New Roman"/>
          <w:i/>
          <w:color w:val="000000" w:themeColor="text1"/>
          <w:lang w:val="en-US"/>
        </w:rPr>
        <w:t>attTn7</w:t>
      </w:r>
      <w:r w:rsidRPr="008441F8">
        <w:rPr>
          <w:rFonts w:cs="Times New Roman"/>
          <w:color w:val="000000" w:themeColor="text1"/>
          <w:lang w:val="en-US"/>
        </w:rPr>
        <w:t>::</w:t>
      </w:r>
      <w:r w:rsidRPr="008441F8">
        <w:rPr>
          <w:rFonts w:cs="Times New Roman"/>
          <w:i/>
          <w:color w:val="000000" w:themeColor="text1"/>
          <w:lang w:val="en-US"/>
        </w:rPr>
        <w:t>FRT-P</w:t>
      </w:r>
      <w:r w:rsidRPr="008441F8">
        <w:rPr>
          <w:rFonts w:cs="Times New Roman"/>
          <w:i/>
          <w:color w:val="000000" w:themeColor="text1"/>
          <w:vertAlign w:val="subscript"/>
          <w:lang w:val="en-US"/>
        </w:rPr>
        <w:t>14f</w:t>
      </w:r>
      <w:r w:rsidRPr="008441F8">
        <w:rPr>
          <w:rFonts w:cs="Times New Roman"/>
          <w:i/>
          <w:color w:val="000000" w:themeColor="text1"/>
          <w:lang w:val="en-US"/>
        </w:rPr>
        <w:t>-SgRppA</w:t>
      </w:r>
      <w:r w:rsidRPr="008441F8">
        <w:rPr>
          <w:lang w:val="en-US"/>
        </w:rPr>
        <w:t xml:space="preserve"> pSenFapRPseudoTermV1 with different concentrations of cerulenin (x-axis). Measured in plate reader in 96 well plate. Error bars represent standard deviation (n=3).</w:t>
      </w:r>
    </w:p>
    <w:p w14:paraId="11E6557E" w14:textId="77777777" w:rsidR="00AE654E" w:rsidRPr="008441F8" w:rsidRDefault="00AE654E" w:rsidP="00B84A00">
      <w:pPr>
        <w:spacing w:line="276" w:lineRule="auto"/>
        <w:jc w:val="both"/>
        <w:rPr>
          <w:lang w:val="en-US"/>
        </w:rPr>
      </w:pPr>
      <w:r w:rsidRPr="008441F8">
        <w:rPr>
          <w:noProof/>
          <w:lang w:eastAsia="de-DE"/>
        </w:rPr>
        <w:drawing>
          <wp:inline distT="0" distB="0" distL="0" distR="0" wp14:anchorId="719F1274" wp14:editId="7E93EA77">
            <wp:extent cx="5935979" cy="1637002"/>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5999" cy="1653554"/>
                    </a:xfrm>
                    <a:prstGeom prst="rect">
                      <a:avLst/>
                    </a:prstGeom>
                    <a:noFill/>
                  </pic:spPr>
                </pic:pic>
              </a:graphicData>
            </a:graphic>
          </wp:inline>
        </w:drawing>
      </w:r>
    </w:p>
    <w:p w14:paraId="4C6A8263" w14:textId="77777777" w:rsidR="00AE654E" w:rsidRPr="008441F8" w:rsidRDefault="00AE654E" w:rsidP="00B84A00">
      <w:pPr>
        <w:pStyle w:val="berschrift2"/>
        <w:spacing w:line="276" w:lineRule="auto"/>
        <w:rPr>
          <w:lang w:val="en-US"/>
        </w:rPr>
      </w:pPr>
      <w:bookmarkStart w:id="14" w:name="_Toc132047267"/>
      <w:r w:rsidRPr="008441F8">
        <w:rPr>
          <w:rStyle w:val="berschrift2Zchn"/>
          <w:b/>
          <w:lang w:val="en-US"/>
        </w:rPr>
        <w:t>Figure S10: Design of promoter P14a*</w:t>
      </w:r>
      <w:r w:rsidRPr="008441F8">
        <w:rPr>
          <w:b/>
          <w:lang w:val="en-US"/>
        </w:rPr>
        <w:t>.</w:t>
      </w:r>
      <w:bookmarkEnd w:id="14"/>
      <w:r w:rsidRPr="008441F8">
        <w:rPr>
          <w:lang w:val="en-US"/>
        </w:rPr>
        <w:t xml:space="preserve"> </w:t>
      </w:r>
    </w:p>
    <w:p w14:paraId="2D18F1F9" w14:textId="77777777" w:rsidR="00AE654E" w:rsidRPr="008441F8" w:rsidRDefault="00AE654E" w:rsidP="00B84A00">
      <w:pPr>
        <w:spacing w:line="276" w:lineRule="auto"/>
        <w:jc w:val="both"/>
        <w:rPr>
          <w:lang w:val="en-US"/>
        </w:rPr>
      </w:pPr>
      <w:r w:rsidRPr="008441F8">
        <w:rPr>
          <w:lang w:val="en-US"/>
        </w:rPr>
        <w:t xml:space="preserve">Intergenic sequence of </w:t>
      </w:r>
      <w:r w:rsidRPr="008441F8">
        <w:rPr>
          <w:i/>
          <w:lang w:val="en-US"/>
        </w:rPr>
        <w:t>P. taiwanensis</w:t>
      </w:r>
      <w:r w:rsidRPr="008441F8">
        <w:rPr>
          <w:lang w:val="en-US"/>
        </w:rPr>
        <w:t xml:space="preserve"> VLB120 position 3568779 – 3568956 bp between succinate dehydrogenase (</w:t>
      </w:r>
      <w:r w:rsidRPr="008441F8">
        <w:rPr>
          <w:i/>
          <w:lang w:val="en-US"/>
        </w:rPr>
        <w:t>sdh</w:t>
      </w:r>
      <w:r w:rsidRPr="008441F8">
        <w:rPr>
          <w:lang w:val="en-US"/>
        </w:rPr>
        <w:t>, PVLB_16315) and type II citrate synthase (</w:t>
      </w:r>
      <w:r w:rsidRPr="008441F8">
        <w:rPr>
          <w:i/>
          <w:lang w:val="en-US"/>
        </w:rPr>
        <w:t>gltA</w:t>
      </w:r>
      <w:r w:rsidRPr="008441F8">
        <w:rPr>
          <w:lang w:val="en-US"/>
        </w:rPr>
        <w:t xml:space="preserve">, PVLB_16320) with exchanged promoter region of </w:t>
      </w:r>
      <w:r w:rsidRPr="008441F8">
        <w:rPr>
          <w:i/>
          <w:lang w:val="en-US"/>
        </w:rPr>
        <w:t>gltA</w:t>
      </w:r>
      <w:r w:rsidRPr="008441F8">
        <w:rPr>
          <w:lang w:val="en-US"/>
        </w:rPr>
        <w:t xml:space="preserve"> with synthetic promoter </w:t>
      </w:r>
      <w:r w:rsidRPr="008441F8">
        <w:rPr>
          <w:i/>
          <w:lang w:val="en-US"/>
        </w:rPr>
        <w:t>P</w:t>
      </w:r>
      <w:r w:rsidRPr="008441F8">
        <w:rPr>
          <w:i/>
          <w:vertAlign w:val="subscript"/>
          <w:lang w:val="en-US"/>
        </w:rPr>
        <w:t>14a</w:t>
      </w:r>
      <w:r w:rsidRPr="008441F8">
        <w:rPr>
          <w:i/>
          <w:lang w:val="en-US"/>
        </w:rPr>
        <w:t>*</w:t>
      </w:r>
      <w:r w:rsidRPr="008441F8">
        <w:rPr>
          <w:lang w:val="en-US"/>
        </w:rPr>
        <w:t>. Sequence predictions are based on σ70 promoter prediction tool SAPPHIRE (</w:t>
      </w:r>
      <w:r w:rsidRPr="008441F8">
        <w:rPr>
          <w:i/>
          <w:iCs/>
          <w:lang w:val="en-US"/>
        </w:rPr>
        <w:t>P</w:t>
      </w:r>
      <w:r w:rsidRPr="008441F8">
        <w:rPr>
          <w:i/>
          <w:iCs/>
          <w:vertAlign w:val="subscript"/>
          <w:lang w:val="en-US"/>
        </w:rPr>
        <w:t>sdh</w:t>
      </w:r>
      <w:r w:rsidRPr="008441F8">
        <w:rPr>
          <w:lang w:val="en-US"/>
        </w:rPr>
        <w:t xml:space="preserve">, P-value 2.408E-5; </w:t>
      </w:r>
      <w:r w:rsidRPr="008441F8">
        <w:rPr>
          <w:i/>
          <w:iCs/>
          <w:lang w:val="en-US"/>
        </w:rPr>
        <w:t>P</w:t>
      </w:r>
      <w:r w:rsidRPr="008441F8">
        <w:rPr>
          <w:i/>
          <w:iCs/>
          <w:vertAlign w:val="subscript"/>
          <w:lang w:val="en-US"/>
        </w:rPr>
        <w:t>14a</w:t>
      </w:r>
      <w:r w:rsidRPr="008441F8">
        <w:rPr>
          <w:lang w:val="en-US"/>
        </w:rPr>
        <w:t xml:space="preserve">*, P-value 5.0064E-4). Native sequence, small letters and dashed line; synthetic promoter sequence with bicistronic design 2 (BCD2), capital letters; translation start codon, red and bold; RBS, ribosome binding site; -10, Pribnow box; </w:t>
      </w:r>
      <w:r w:rsidRPr="008441F8">
        <w:rPr>
          <w:lang w:val="en-US"/>
        </w:rPr>
        <w:noBreakHyphen/>
        <w:t xml:space="preserve">35, consensus sequence for promoter; TSS, putative transcription start site. </w:t>
      </w:r>
    </w:p>
    <w:p w14:paraId="3107A76A" w14:textId="77777777" w:rsidR="00AE654E" w:rsidRPr="008441F8" w:rsidRDefault="00AE654E" w:rsidP="00B84A00">
      <w:pPr>
        <w:spacing w:line="276" w:lineRule="auto"/>
        <w:jc w:val="both"/>
        <w:rPr>
          <w:lang w:val="en-US"/>
        </w:rPr>
      </w:pPr>
    </w:p>
    <w:p w14:paraId="0DAE4BB4" w14:textId="77777777" w:rsidR="00AE654E" w:rsidRPr="008441F8" w:rsidRDefault="00AE654E" w:rsidP="00B84A00">
      <w:pPr>
        <w:spacing w:line="276" w:lineRule="auto"/>
        <w:rPr>
          <w:lang w:val="en-US"/>
        </w:rPr>
      </w:pPr>
      <w:r w:rsidRPr="008441F8">
        <w:rPr>
          <w:noProof/>
          <w:lang w:eastAsia="de-DE"/>
        </w:rPr>
        <w:lastRenderedPageBreak/>
        <w:drawing>
          <wp:inline distT="0" distB="0" distL="0" distR="0" wp14:anchorId="0B96E107" wp14:editId="36437E85">
            <wp:extent cx="5760720" cy="269930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99309"/>
                    </a:xfrm>
                    <a:prstGeom prst="rect">
                      <a:avLst/>
                    </a:prstGeom>
                    <a:noFill/>
                    <a:ln>
                      <a:noFill/>
                    </a:ln>
                  </pic:spPr>
                </pic:pic>
              </a:graphicData>
            </a:graphic>
          </wp:inline>
        </w:drawing>
      </w:r>
    </w:p>
    <w:p w14:paraId="729AE2B9" w14:textId="77777777" w:rsidR="00AE654E" w:rsidRPr="008441F8" w:rsidRDefault="00AE654E" w:rsidP="00B84A00">
      <w:pPr>
        <w:pStyle w:val="berschrift2"/>
        <w:spacing w:line="276" w:lineRule="auto"/>
        <w:rPr>
          <w:lang w:val="en-US"/>
        </w:rPr>
      </w:pPr>
      <w:bookmarkStart w:id="15" w:name="_Toc132047268"/>
      <w:r w:rsidRPr="008441F8">
        <w:rPr>
          <w:rStyle w:val="berschrift2Zchn"/>
          <w:b/>
          <w:lang w:val="en-US"/>
        </w:rPr>
        <w:t>Figure S11</w:t>
      </w:r>
      <w:r w:rsidRPr="008441F8">
        <w:rPr>
          <w:b/>
          <w:lang w:val="en-US"/>
        </w:rPr>
        <w:t>:</w:t>
      </w:r>
      <w:bookmarkEnd w:id="15"/>
      <w:r w:rsidRPr="008441F8">
        <w:rPr>
          <w:lang w:val="en-US"/>
        </w:rPr>
        <w:t xml:space="preserve"> </w:t>
      </w:r>
    </w:p>
    <w:p w14:paraId="3AF8C519" w14:textId="77777777" w:rsidR="00AE654E" w:rsidRPr="008441F8" w:rsidRDefault="00AE654E" w:rsidP="00B84A00">
      <w:pPr>
        <w:spacing w:line="276" w:lineRule="auto"/>
        <w:jc w:val="both"/>
        <w:rPr>
          <w:lang w:val="en-US"/>
        </w:rPr>
      </w:pPr>
      <w:r w:rsidRPr="008441F8">
        <w:rPr>
          <w:lang w:val="en-US"/>
        </w:rPr>
        <w:t>Separate growth experiment of GRC3 PHE pinosylvin producing strains with modifications of the acetyl-CoA node in Growth Profiler in 96-square well plate at 30°C, 224rpm, 50 mm amplitude. Error bars represent the standard deviation of four replicates.</w:t>
      </w:r>
    </w:p>
    <w:p w14:paraId="74AE2D84" w14:textId="77777777" w:rsidR="00AE654E" w:rsidRPr="008441F8" w:rsidRDefault="00AE654E" w:rsidP="00B84A00">
      <w:pPr>
        <w:spacing w:line="276" w:lineRule="auto"/>
        <w:jc w:val="both"/>
        <w:rPr>
          <w:lang w:val="en-US"/>
        </w:rPr>
      </w:pPr>
    </w:p>
    <w:p w14:paraId="59150E33" w14:textId="77777777" w:rsidR="00AE654E" w:rsidRPr="008441F8" w:rsidRDefault="00AE654E" w:rsidP="00B84A00">
      <w:pPr>
        <w:spacing w:line="276" w:lineRule="auto"/>
        <w:jc w:val="center"/>
        <w:rPr>
          <w:lang w:val="en-US"/>
        </w:rPr>
      </w:pPr>
      <w:r w:rsidRPr="008441F8">
        <w:rPr>
          <w:noProof/>
          <w:lang w:eastAsia="de-DE"/>
        </w:rPr>
        <w:lastRenderedPageBreak/>
        <w:drawing>
          <wp:inline distT="0" distB="0" distL="0" distR="0" wp14:anchorId="565977E7" wp14:editId="4159AC9D">
            <wp:extent cx="5760720" cy="461817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618174"/>
                    </a:xfrm>
                    <a:prstGeom prst="rect">
                      <a:avLst/>
                    </a:prstGeom>
                    <a:noFill/>
                    <a:ln>
                      <a:noFill/>
                    </a:ln>
                  </pic:spPr>
                </pic:pic>
              </a:graphicData>
            </a:graphic>
          </wp:inline>
        </w:drawing>
      </w:r>
    </w:p>
    <w:p w14:paraId="17CE8E13" w14:textId="77777777" w:rsidR="00AE654E" w:rsidRPr="008441F8" w:rsidRDefault="00AE654E" w:rsidP="00B84A00">
      <w:pPr>
        <w:pStyle w:val="berschrift2"/>
        <w:spacing w:line="276" w:lineRule="auto"/>
        <w:rPr>
          <w:lang w:val="en-US"/>
        </w:rPr>
      </w:pPr>
      <w:bookmarkStart w:id="16" w:name="_Toc132047269"/>
      <w:r w:rsidRPr="008441F8">
        <w:rPr>
          <w:rStyle w:val="berschrift2Zchn"/>
          <w:b/>
          <w:lang w:val="en-US"/>
        </w:rPr>
        <w:t>Figure S12</w:t>
      </w:r>
      <w:r w:rsidRPr="008441F8">
        <w:rPr>
          <w:b/>
          <w:lang w:val="en-US"/>
        </w:rPr>
        <w:t>:</w:t>
      </w:r>
      <w:bookmarkEnd w:id="16"/>
      <w:r w:rsidRPr="008441F8">
        <w:rPr>
          <w:lang w:val="en-US"/>
        </w:rPr>
        <w:t xml:space="preserve"> </w:t>
      </w:r>
    </w:p>
    <w:p w14:paraId="6A2D36AE" w14:textId="77777777" w:rsidR="00AE654E" w:rsidRPr="008441F8" w:rsidRDefault="00AE654E" w:rsidP="00B84A00">
      <w:pPr>
        <w:spacing w:line="276" w:lineRule="auto"/>
        <w:jc w:val="both"/>
        <w:rPr>
          <w:lang w:val="en-US"/>
        </w:rPr>
      </w:pPr>
      <w:r w:rsidRPr="008441F8">
        <w:rPr>
          <w:lang w:val="en-US"/>
        </w:rPr>
        <w:t>Flaviolin titers in supernatant and pH of LB seed culture (n=1) of GRC3</w:t>
      </w:r>
      <w:r w:rsidRPr="008441F8">
        <w:rPr>
          <w:rFonts w:ascii="Arial" w:hAnsi="Arial" w:cs="Arial"/>
          <w:lang w:val="en-US"/>
        </w:rPr>
        <w:t>Δ</w:t>
      </w:r>
      <w:r w:rsidRPr="008441F8">
        <w:rPr>
          <w:lang w:val="en-US"/>
        </w:rPr>
        <w:t>6</w:t>
      </w:r>
      <w:r>
        <w:rPr>
          <w:lang w:val="en-US"/>
        </w:rPr>
        <w:t xml:space="preserve"> </w:t>
      </w:r>
      <w:r w:rsidRPr="008441F8">
        <w:rPr>
          <w:lang w:val="en-US"/>
        </w:rPr>
        <w:t>MC</w:t>
      </w:r>
      <w:r w:rsidRPr="008441F8">
        <w:rPr>
          <w:lang w:val="en-US"/>
        </w:rPr>
        <w:noBreakHyphen/>
        <w:t>II and GRC3</w:t>
      </w:r>
      <w:r w:rsidRPr="008441F8">
        <w:rPr>
          <w:rFonts w:ascii="Arial" w:hAnsi="Arial" w:cs="Arial"/>
          <w:lang w:val="en-US"/>
        </w:rPr>
        <w:t>Δ</w:t>
      </w:r>
      <w:r w:rsidRPr="008441F8">
        <w:rPr>
          <w:lang w:val="en-US"/>
        </w:rPr>
        <w:t>6</w:t>
      </w:r>
      <w:r>
        <w:rPr>
          <w:lang w:val="en-US"/>
        </w:rPr>
        <w:t xml:space="preserve"> </w:t>
      </w:r>
      <w:r w:rsidRPr="008441F8">
        <w:rPr>
          <w:lang w:val="en-US"/>
        </w:rPr>
        <w:t>MC</w:t>
      </w:r>
      <w:r w:rsidRPr="008441F8">
        <w:rPr>
          <w:lang w:val="en-US"/>
        </w:rPr>
        <w:noBreakHyphen/>
        <w:t xml:space="preserve">II </w:t>
      </w:r>
      <w:r w:rsidRPr="008441F8">
        <w:rPr>
          <w:i/>
          <w:lang w:val="en-US"/>
        </w:rPr>
        <w:t>CgACC</w:t>
      </w:r>
      <w:r w:rsidRPr="008441F8">
        <w:rPr>
          <w:lang w:val="en-US"/>
        </w:rPr>
        <w:t xml:space="preserve"> (MC-III) flaviolin producers without and with additional 2x buffer (left; cell pellets appeared dark of GRC3</w:t>
      </w:r>
      <w:r w:rsidRPr="008441F8">
        <w:rPr>
          <w:rFonts w:ascii="Arial" w:hAnsi="Arial" w:cs="Arial"/>
          <w:lang w:val="en-US"/>
        </w:rPr>
        <w:t>Δ</w:t>
      </w:r>
      <w:r w:rsidRPr="008441F8">
        <w:rPr>
          <w:lang w:val="en-US"/>
        </w:rPr>
        <w:t xml:space="preserve">6 MC-II </w:t>
      </w:r>
      <w:r w:rsidRPr="008441F8">
        <w:rPr>
          <w:i/>
          <w:lang w:val="en-US"/>
        </w:rPr>
        <w:t>CgACC</w:t>
      </w:r>
      <w:r w:rsidRPr="008441F8">
        <w:rPr>
          <w:lang w:val="en-US"/>
        </w:rPr>
        <w:t xml:space="preserve"> in LB) and comparison of flaviolin titers from different carbon sources in 3x buffered MSM (right). Error bars represent the standard deviation (n=3). Abbreviations: glc, glucose; gly, glycerol, EtOH, ethanol</w:t>
      </w:r>
    </w:p>
    <w:p w14:paraId="6397B1DC" w14:textId="77777777" w:rsidR="00AE654E" w:rsidRPr="008441F8" w:rsidRDefault="00AE654E" w:rsidP="00B84A00">
      <w:pPr>
        <w:spacing w:line="276" w:lineRule="auto"/>
        <w:jc w:val="both"/>
        <w:rPr>
          <w:lang w:val="en-US"/>
        </w:rPr>
      </w:pPr>
    </w:p>
    <w:p w14:paraId="4D8F4067" w14:textId="77777777" w:rsidR="00AE654E" w:rsidRPr="008441F8" w:rsidRDefault="00AE654E" w:rsidP="00B84A00">
      <w:pPr>
        <w:spacing w:line="276" w:lineRule="auto"/>
        <w:jc w:val="both"/>
        <w:rPr>
          <w:lang w:val="en-US"/>
        </w:rPr>
      </w:pPr>
      <w:r w:rsidRPr="008441F8">
        <w:rPr>
          <w:noProof/>
          <w:lang w:eastAsia="de-DE"/>
        </w:rPr>
        <w:lastRenderedPageBreak/>
        <w:drawing>
          <wp:inline distT="0" distB="0" distL="0" distR="0" wp14:anchorId="283FD8C1" wp14:editId="346B3629">
            <wp:extent cx="5750578" cy="9311947"/>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4880" cy="9335107"/>
                    </a:xfrm>
                    <a:prstGeom prst="rect">
                      <a:avLst/>
                    </a:prstGeom>
                    <a:noFill/>
                  </pic:spPr>
                </pic:pic>
              </a:graphicData>
            </a:graphic>
          </wp:inline>
        </w:drawing>
      </w:r>
    </w:p>
    <w:p w14:paraId="0BA69673" w14:textId="77777777" w:rsidR="00AE654E" w:rsidRPr="008441F8" w:rsidRDefault="00AE654E" w:rsidP="00B84A00">
      <w:pPr>
        <w:pStyle w:val="berschrift2"/>
        <w:spacing w:line="276" w:lineRule="auto"/>
        <w:rPr>
          <w:lang w:val="en-US"/>
        </w:rPr>
      </w:pPr>
      <w:bookmarkStart w:id="17" w:name="_Toc132047270"/>
      <w:r w:rsidRPr="008441F8">
        <w:rPr>
          <w:rStyle w:val="berschrift2Zchn"/>
          <w:b/>
          <w:lang w:val="en-US"/>
        </w:rPr>
        <w:lastRenderedPageBreak/>
        <w:t>Figure S13</w:t>
      </w:r>
      <w:r w:rsidRPr="008441F8">
        <w:rPr>
          <w:lang w:val="en-US"/>
        </w:rPr>
        <w:t>:</w:t>
      </w:r>
      <w:bookmarkEnd w:id="17"/>
      <w:r w:rsidRPr="008441F8">
        <w:rPr>
          <w:lang w:val="en-US"/>
        </w:rPr>
        <w:t xml:space="preserve"> </w:t>
      </w:r>
    </w:p>
    <w:p w14:paraId="10E663E4" w14:textId="77777777" w:rsidR="00AE654E" w:rsidRPr="008441F8" w:rsidRDefault="00AE654E" w:rsidP="00B84A00">
      <w:pPr>
        <w:spacing w:line="276" w:lineRule="auto"/>
        <w:jc w:val="both"/>
        <w:rPr>
          <w:lang w:val="en-US"/>
        </w:rPr>
      </w:pPr>
      <w:r w:rsidRPr="008441F8">
        <w:rPr>
          <w:lang w:val="en-US"/>
        </w:rPr>
        <w:t>Flaviolin titers in supernatant (A) and OD</w:t>
      </w:r>
      <w:r w:rsidRPr="00E7422A">
        <w:rPr>
          <w:vertAlign w:val="subscript"/>
          <w:lang w:val="en-US"/>
        </w:rPr>
        <w:t>600</w:t>
      </w:r>
      <w:r w:rsidRPr="008441F8">
        <w:rPr>
          <w:lang w:val="en-US"/>
        </w:rPr>
        <w:t xml:space="preserve"> (B) of different flaviolin producer strains based on aromatics catabolism deficient GRC3</w:t>
      </w:r>
      <w:r w:rsidRPr="008441F8">
        <w:rPr>
          <w:rFonts w:cstheme="minorHAnsi"/>
          <w:lang w:val="en-US"/>
        </w:rPr>
        <w:t>Δ</w:t>
      </w:r>
      <w:r w:rsidRPr="008441F8">
        <w:rPr>
          <w:lang w:val="en-US"/>
        </w:rPr>
        <w:t>6 with additional indicated modifications. Made in 3-fold buffered MSM with 30 mM glucose (glc.), or with additional 10 mM formate, or 90 mM ethanol or 1/6</w:t>
      </w:r>
      <w:r w:rsidRPr="008441F8">
        <w:rPr>
          <w:vertAlign w:val="superscript"/>
          <w:lang w:val="en-US"/>
        </w:rPr>
        <w:t>th</w:t>
      </w:r>
      <w:r w:rsidRPr="008441F8">
        <w:rPr>
          <w:lang w:val="en-US"/>
        </w:rPr>
        <w:t xml:space="preserve"> of ammonium sulfate for nitrogen limiting conditions (C/N </w:t>
      </w:r>
      <w:r w:rsidRPr="008441F8">
        <w:rPr>
          <w:rFonts w:cstheme="minorHAnsi"/>
          <w:lang w:val="en-US"/>
        </w:rPr>
        <w:t>~</w:t>
      </w:r>
      <w:r w:rsidRPr="008441F8">
        <w:rPr>
          <w:lang w:val="en-US"/>
        </w:rPr>
        <w:t>6) in 1.5 mL System Duetz cultures (30°C, 300 rpm, 50 mm amplitude). Samples were taken after 91 h, 92.5 h, 93h and 93.5 h, respectively to ensure full growth and THN oxidation to flaviolin. Error bars represent the standard deviation (n=3). Abbreviation: EtOH, ethanol; GRC3</w:t>
      </w:r>
      <w:r w:rsidRPr="008441F8">
        <w:rPr>
          <w:rFonts w:cstheme="minorHAnsi"/>
          <w:lang w:val="en-US"/>
        </w:rPr>
        <w:t>Δ</w:t>
      </w:r>
      <w:r w:rsidRPr="008441F8">
        <w:rPr>
          <w:lang w:val="en-US"/>
        </w:rPr>
        <w:t>6 MC-I, genotype of malonyl-CoA platform strain 1; GRC3</w:t>
      </w:r>
      <w:r w:rsidRPr="008441F8">
        <w:rPr>
          <w:rFonts w:cstheme="minorHAnsi"/>
          <w:lang w:val="en-US"/>
        </w:rPr>
        <w:t>Δ</w:t>
      </w:r>
      <w:r w:rsidRPr="008441F8">
        <w:rPr>
          <w:lang w:val="en-US"/>
        </w:rPr>
        <w:t>6 MC-II, genotype of malonyl-CoA platform strain 2.</w:t>
      </w:r>
    </w:p>
    <w:p w14:paraId="7192D873" w14:textId="77777777" w:rsidR="00AE654E" w:rsidRPr="008441F8" w:rsidRDefault="00AE654E" w:rsidP="00B84A00">
      <w:pPr>
        <w:pStyle w:val="berschrift2"/>
        <w:spacing w:line="276" w:lineRule="auto"/>
        <w:jc w:val="both"/>
        <w:rPr>
          <w:lang w:val="en-US"/>
        </w:rPr>
      </w:pPr>
      <w:bookmarkStart w:id="18" w:name="_Toc132047271"/>
      <w:r w:rsidRPr="008441F8">
        <w:rPr>
          <w:b/>
          <w:lang w:val="en-US"/>
        </w:rPr>
        <w:t xml:space="preserve">Supplement S14: </w:t>
      </w:r>
      <w:r w:rsidRPr="008441F8">
        <w:rPr>
          <w:lang w:val="en-US"/>
        </w:rPr>
        <w:t>Genetic modifications without positive effect on product titers</w:t>
      </w:r>
      <w:bookmarkEnd w:id="18"/>
    </w:p>
    <w:p w14:paraId="29869D94" w14:textId="77777777" w:rsidR="00AE654E" w:rsidRPr="008441F8" w:rsidRDefault="00AE654E" w:rsidP="00B84A00">
      <w:pPr>
        <w:pStyle w:val="Listenabsatz"/>
        <w:numPr>
          <w:ilvl w:val="0"/>
          <w:numId w:val="13"/>
        </w:numPr>
        <w:jc w:val="both"/>
        <w:rPr>
          <w:lang w:val="en-US"/>
        </w:rPr>
      </w:pPr>
      <w:r w:rsidRPr="008441F8">
        <w:rPr>
          <w:lang w:val="en-US"/>
        </w:rPr>
        <w:t>pinosylvin production with AhSTS outperformed PstrSTS or PstrSTS* in GRC3 PHE</w:t>
      </w:r>
    </w:p>
    <w:p w14:paraId="2C57FC87" w14:textId="77777777" w:rsidR="00AE654E" w:rsidRPr="008441F8" w:rsidRDefault="00AE654E" w:rsidP="00B84A00">
      <w:pPr>
        <w:pStyle w:val="Listenabsatz"/>
        <w:numPr>
          <w:ilvl w:val="0"/>
          <w:numId w:val="13"/>
        </w:numPr>
        <w:jc w:val="both"/>
        <w:rPr>
          <w:lang w:val="en-US"/>
        </w:rPr>
      </w:pPr>
      <w:r w:rsidRPr="008441F8">
        <w:rPr>
          <w:lang w:val="en-US"/>
        </w:rPr>
        <w:t xml:space="preserve">Deletion of secondary metabolite operon PVLB_01730-PVLB_01815 did not increase pinosylvin production in GRC3 PHE platform strain. </w:t>
      </w:r>
    </w:p>
    <w:p w14:paraId="467F7EA4" w14:textId="77777777" w:rsidR="00AE654E" w:rsidRPr="008441F8" w:rsidRDefault="00AE654E" w:rsidP="00B84A00">
      <w:pPr>
        <w:pStyle w:val="Listenabsatz"/>
        <w:numPr>
          <w:ilvl w:val="0"/>
          <w:numId w:val="13"/>
        </w:numPr>
        <w:jc w:val="both"/>
        <w:rPr>
          <w:lang w:val="en-US"/>
        </w:rPr>
      </w:pPr>
      <w:r w:rsidRPr="008441F8">
        <w:rPr>
          <w:lang w:val="en-US"/>
        </w:rPr>
        <w:t xml:space="preserve">The putative TetR-type regulator PVLB_02920 shares similarities to FabR of </w:t>
      </w:r>
      <w:r w:rsidRPr="008441F8">
        <w:rPr>
          <w:i/>
          <w:lang w:val="en-US"/>
        </w:rPr>
        <w:t>P. fluorescens</w:t>
      </w:r>
      <w:r w:rsidRPr="008441F8">
        <w:rPr>
          <w:lang w:val="en-US"/>
        </w:rPr>
        <w:t xml:space="preserve"> WH6 (73%aa identity) and some to DesT from </w:t>
      </w:r>
      <w:r w:rsidRPr="008441F8">
        <w:rPr>
          <w:i/>
          <w:lang w:val="en-US"/>
        </w:rPr>
        <w:t xml:space="preserve">P. aeruginosa </w:t>
      </w:r>
      <w:r w:rsidRPr="008441F8">
        <w:rPr>
          <w:lang w:val="en-US"/>
        </w:rPr>
        <w:t>PAO1</w:t>
      </w:r>
      <w:r w:rsidRPr="008441F8">
        <w:rPr>
          <w:i/>
          <w:lang w:val="en-US"/>
        </w:rPr>
        <w:t xml:space="preserve"> </w:t>
      </w:r>
      <w:r w:rsidRPr="008441F8">
        <w:rPr>
          <w:lang w:val="en-US"/>
        </w:rPr>
        <w:t xml:space="preserve">(72%aa identity) which are likely involved in regulation of fatty acid biosynthesis. Deletion of fabR-like regulator encoded by PVLB_02920 in GRC3 PHE background did not increase pinosylvin synthesis. </w:t>
      </w:r>
    </w:p>
    <w:p w14:paraId="242A2AE1" w14:textId="77777777" w:rsidR="00AE654E" w:rsidRPr="008441F8" w:rsidRDefault="00AE654E" w:rsidP="00B84A00">
      <w:pPr>
        <w:pStyle w:val="Listenabsatz"/>
        <w:numPr>
          <w:ilvl w:val="0"/>
          <w:numId w:val="13"/>
        </w:numPr>
        <w:jc w:val="both"/>
        <w:rPr>
          <w:lang w:val="en-US"/>
        </w:rPr>
      </w:pPr>
      <w:r w:rsidRPr="008441F8">
        <w:rPr>
          <w:lang w:val="en-US"/>
        </w:rPr>
        <w:t xml:space="preserve">Deletion of </w:t>
      </w:r>
      <w:r w:rsidRPr="008441F8">
        <w:rPr>
          <w:i/>
          <w:iCs/>
          <w:lang w:val="en-US"/>
        </w:rPr>
        <w:t>glnB</w:t>
      </w:r>
      <w:r w:rsidRPr="008441F8">
        <w:rPr>
          <w:lang w:val="en-US"/>
        </w:rPr>
        <w:t xml:space="preserve"> in GRC3</w:t>
      </w:r>
      <w:r w:rsidRPr="008441F8">
        <w:rPr>
          <w:rFonts w:ascii="Arial" w:hAnsi="Arial" w:cs="Arial"/>
          <w:lang w:val="en-US"/>
        </w:rPr>
        <w:t>Δ</w:t>
      </w:r>
      <w:r w:rsidRPr="008441F8">
        <w:rPr>
          <w:lang w:val="en-US"/>
        </w:rPr>
        <w:t>6</w:t>
      </w:r>
      <w:r>
        <w:rPr>
          <w:lang w:val="en-US"/>
        </w:rPr>
        <w:t xml:space="preserve"> </w:t>
      </w:r>
      <w:r w:rsidRPr="008441F8">
        <w:rPr>
          <w:lang w:val="en-US"/>
        </w:rPr>
        <w:t>MC-II flaviolin producer did not increase flaviolin production.</w:t>
      </w:r>
    </w:p>
    <w:p w14:paraId="00BBB04A" w14:textId="77777777" w:rsidR="00AE654E" w:rsidRPr="008441F8" w:rsidRDefault="00AE654E" w:rsidP="00B84A00">
      <w:pPr>
        <w:pStyle w:val="Listenabsatz"/>
        <w:numPr>
          <w:ilvl w:val="0"/>
          <w:numId w:val="13"/>
        </w:numPr>
        <w:jc w:val="both"/>
        <w:rPr>
          <w:lang w:val="en-US"/>
        </w:rPr>
        <w:sectPr w:rsidR="00AE654E" w:rsidRPr="008441F8" w:rsidSect="000165F5">
          <w:headerReference w:type="default" r:id="rId31"/>
          <w:footerReference w:type="default" r:id="rId32"/>
          <w:pgSz w:w="11906" w:h="16838"/>
          <w:pgMar w:top="1418" w:right="1417" w:bottom="1134" w:left="1417" w:header="708" w:footer="708" w:gutter="0"/>
          <w:cols w:space="708"/>
          <w:docGrid w:linePitch="360"/>
        </w:sectPr>
      </w:pPr>
      <w:r w:rsidRPr="008441F8">
        <w:rPr>
          <w:lang w:val="en-US"/>
        </w:rPr>
        <w:lastRenderedPageBreak/>
        <w:t xml:space="preserve">Plasmid expression of </w:t>
      </w:r>
      <w:r w:rsidRPr="008441F8">
        <w:rPr>
          <w:i/>
          <w:iCs/>
          <w:lang w:val="en-US"/>
        </w:rPr>
        <w:t>sigX</w:t>
      </w:r>
      <w:r w:rsidRPr="008441F8">
        <w:rPr>
          <w:lang w:val="en-US"/>
        </w:rPr>
        <w:t xml:space="preserve">, </w:t>
      </w:r>
      <w:r w:rsidRPr="008441F8">
        <w:rPr>
          <w:i/>
          <w:iCs/>
          <w:lang w:val="en-US"/>
        </w:rPr>
        <w:t>fabD</w:t>
      </w:r>
      <w:r w:rsidRPr="008441F8">
        <w:rPr>
          <w:lang w:val="en-US"/>
        </w:rPr>
        <w:t xml:space="preserve"> or </w:t>
      </w:r>
      <w:r w:rsidRPr="008441F8">
        <w:rPr>
          <w:i/>
          <w:iCs/>
          <w:lang w:val="en-US"/>
        </w:rPr>
        <w:t>fabD</w:t>
      </w:r>
      <w:r w:rsidRPr="008441F8">
        <w:rPr>
          <w:vertAlign w:val="superscript"/>
          <w:lang w:val="en-US"/>
        </w:rPr>
        <w:t>W258Q</w:t>
      </w:r>
      <w:r w:rsidRPr="008441F8">
        <w:rPr>
          <w:lang w:val="en-US"/>
        </w:rPr>
        <w:t xml:space="preserve"> for flaviolin synthesis in strain GRC3 </w:t>
      </w:r>
      <w:r w:rsidRPr="008441F8">
        <w:rPr>
          <w:rFonts w:cstheme="minorHAnsi"/>
          <w:lang w:val="en-US"/>
        </w:rPr>
        <w:t>Δ</w:t>
      </w:r>
      <w:r w:rsidRPr="008441F8">
        <w:rPr>
          <w:lang w:val="en-US"/>
        </w:rPr>
        <w:t xml:space="preserve">6 </w:t>
      </w:r>
      <w:r w:rsidRPr="008441F8">
        <w:rPr>
          <w:rFonts w:cstheme="minorHAnsi"/>
          <w:lang w:val="en-US"/>
        </w:rPr>
        <w:t>Δ</w:t>
      </w:r>
      <w:r w:rsidRPr="008441F8">
        <w:rPr>
          <w:i/>
          <w:lang w:val="en-US"/>
        </w:rPr>
        <w:t>gcd</w:t>
      </w:r>
      <w:r w:rsidRPr="008441F8">
        <w:rPr>
          <w:rFonts w:cstheme="minorHAnsi"/>
          <w:lang w:val="en-US"/>
        </w:rPr>
        <w:t xml:space="preserve"> Δ</w:t>
      </w:r>
      <w:r w:rsidRPr="008441F8">
        <w:rPr>
          <w:rFonts w:cstheme="minorHAnsi"/>
          <w:i/>
          <w:iCs/>
          <w:lang w:val="en-US"/>
        </w:rPr>
        <w:t>P</w:t>
      </w:r>
      <w:r w:rsidRPr="008441F8">
        <w:rPr>
          <w:rFonts w:cstheme="minorHAnsi"/>
          <w:i/>
          <w:iCs/>
          <w:vertAlign w:val="subscript"/>
          <w:lang w:val="en-US"/>
        </w:rPr>
        <w:t>gltA</w:t>
      </w:r>
      <w:r w:rsidRPr="008441F8">
        <w:rPr>
          <w:rFonts w:cstheme="minorHAnsi"/>
          <w:lang w:val="en-US"/>
        </w:rPr>
        <w:t>::</w:t>
      </w:r>
      <w:r w:rsidRPr="008441F8">
        <w:rPr>
          <w:rFonts w:cstheme="minorHAnsi"/>
          <w:i/>
          <w:iCs/>
          <w:lang w:val="en-US"/>
        </w:rPr>
        <w:t>P</w:t>
      </w:r>
      <w:r w:rsidRPr="008441F8">
        <w:rPr>
          <w:rFonts w:cstheme="minorHAnsi"/>
          <w:i/>
          <w:iCs/>
          <w:vertAlign w:val="subscript"/>
          <w:lang w:val="en-US"/>
        </w:rPr>
        <w:t>14a</w:t>
      </w:r>
      <w:r w:rsidRPr="008441F8">
        <w:rPr>
          <w:rFonts w:cstheme="minorHAnsi"/>
          <w:lang w:val="en-US"/>
        </w:rPr>
        <w:t>*-BCD PVLB_23545-40::</w:t>
      </w:r>
      <w:r w:rsidRPr="008441F8">
        <w:rPr>
          <w:rFonts w:cstheme="minorHAnsi"/>
          <w:i/>
          <w:iCs/>
          <w:lang w:val="en-US"/>
        </w:rPr>
        <w:t>P</w:t>
      </w:r>
      <w:r w:rsidRPr="008441F8">
        <w:rPr>
          <w:rFonts w:cstheme="minorHAnsi"/>
          <w:i/>
          <w:iCs/>
          <w:vertAlign w:val="subscript"/>
          <w:lang w:val="en-US"/>
        </w:rPr>
        <w:t>14f</w:t>
      </w:r>
      <w:r w:rsidRPr="008441F8">
        <w:rPr>
          <w:rFonts w:cstheme="minorHAnsi"/>
          <w:lang w:val="en-US"/>
        </w:rPr>
        <w:t>-</w:t>
      </w:r>
      <w:r w:rsidRPr="008441F8">
        <w:rPr>
          <w:rFonts w:cstheme="minorHAnsi"/>
          <w:i/>
          <w:iCs/>
          <w:lang w:val="en-US"/>
        </w:rPr>
        <w:t>Cg_accBC_accD1</w:t>
      </w:r>
      <w:r w:rsidRPr="008441F8">
        <w:rPr>
          <w:rFonts w:cstheme="minorHAnsi"/>
          <w:lang w:val="en-US"/>
        </w:rPr>
        <w:t xml:space="preserve"> </w:t>
      </w:r>
      <w:r w:rsidRPr="008441F8">
        <w:rPr>
          <w:i/>
          <w:iCs/>
          <w:lang w:val="en-US"/>
        </w:rPr>
        <w:t>attTn7</w:t>
      </w:r>
      <w:r w:rsidRPr="008441F8">
        <w:rPr>
          <w:lang w:val="en-US"/>
        </w:rPr>
        <w:t>::FRT-</w:t>
      </w:r>
      <w:r w:rsidRPr="008441F8">
        <w:rPr>
          <w:i/>
          <w:iCs/>
          <w:lang w:val="en-US"/>
        </w:rPr>
        <w:t>P</w:t>
      </w:r>
      <w:r w:rsidRPr="008441F8">
        <w:rPr>
          <w:i/>
          <w:iCs/>
          <w:vertAlign w:val="subscript"/>
          <w:lang w:val="en-US"/>
        </w:rPr>
        <w:t>14f</w:t>
      </w:r>
      <w:r w:rsidRPr="008441F8">
        <w:rPr>
          <w:i/>
          <w:iCs/>
          <w:lang w:val="en-US"/>
        </w:rPr>
        <w:t>-SgRppA</w:t>
      </w:r>
      <w:r w:rsidRPr="008441F8">
        <w:rPr>
          <w:lang w:val="en-US"/>
        </w:rPr>
        <w:t xml:space="preserve"> (MiKat#801) did not increase flaviolin production. </w:t>
      </w:r>
      <w:r w:rsidRPr="008441F8">
        <w:rPr>
          <w:lang w:val="en-US"/>
        </w:rPr>
        <w:br w:type="page"/>
      </w:r>
    </w:p>
    <w:p w14:paraId="3B66C35A" w14:textId="77777777" w:rsidR="00AE654E" w:rsidRPr="008441F8" w:rsidRDefault="00AE654E" w:rsidP="00B84A00">
      <w:pPr>
        <w:spacing w:after="0" w:line="276" w:lineRule="auto"/>
        <w:jc w:val="center"/>
        <w:rPr>
          <w:lang w:val="en-US"/>
        </w:rPr>
      </w:pPr>
      <w:r w:rsidRPr="008441F8">
        <w:rPr>
          <w:noProof/>
          <w:lang w:eastAsia="de-DE"/>
        </w:rPr>
        <w:lastRenderedPageBreak/>
        <w:drawing>
          <wp:inline distT="0" distB="0" distL="0" distR="0" wp14:anchorId="100998C4" wp14:editId="5B3650D2">
            <wp:extent cx="5340350" cy="8852987"/>
            <wp:effectExtent l="0" t="0" r="0" b="5715"/>
            <wp:docPr id="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3"/>
                    <a:stretch>
                      <a:fillRect/>
                    </a:stretch>
                  </pic:blipFill>
                  <pic:spPr>
                    <a:xfrm>
                      <a:off x="0" y="0"/>
                      <a:ext cx="5351896" cy="8872128"/>
                    </a:xfrm>
                    <a:prstGeom prst="rect">
                      <a:avLst/>
                    </a:prstGeom>
                  </pic:spPr>
                </pic:pic>
              </a:graphicData>
            </a:graphic>
          </wp:inline>
        </w:drawing>
      </w:r>
    </w:p>
    <w:p w14:paraId="70611D93" w14:textId="77777777" w:rsidR="00AE654E" w:rsidRPr="008441F8" w:rsidRDefault="00AE654E" w:rsidP="00B84A00">
      <w:pPr>
        <w:pStyle w:val="berschrift2"/>
        <w:spacing w:line="276" w:lineRule="auto"/>
        <w:rPr>
          <w:lang w:val="en-US"/>
        </w:rPr>
        <w:sectPr w:rsidR="00AE654E" w:rsidRPr="008441F8" w:rsidSect="00EF40A4">
          <w:pgSz w:w="11906" w:h="16838"/>
          <w:pgMar w:top="709" w:right="1417" w:bottom="568" w:left="1417" w:header="708" w:footer="708" w:gutter="0"/>
          <w:lnNumType w:countBy="1" w:restart="continuous"/>
          <w:cols w:space="708"/>
          <w:docGrid w:linePitch="360"/>
        </w:sectPr>
      </w:pPr>
      <w:bookmarkStart w:id="19" w:name="_Toc132047272"/>
      <w:r w:rsidRPr="008441F8">
        <w:rPr>
          <w:rStyle w:val="berschrift2Zchn"/>
          <w:b/>
          <w:lang w:val="en-US"/>
        </w:rPr>
        <w:lastRenderedPageBreak/>
        <w:t xml:space="preserve">Figure S15: Proposed fatty acid biosynthesis in </w:t>
      </w:r>
      <w:r w:rsidRPr="008441F8">
        <w:rPr>
          <w:rStyle w:val="berschrift2Zchn"/>
          <w:b/>
          <w:i/>
          <w:lang w:val="en-US"/>
        </w:rPr>
        <w:t>P. taiwanensis</w:t>
      </w:r>
      <w:r w:rsidRPr="008441F8">
        <w:rPr>
          <w:rStyle w:val="berschrift2Zchn"/>
          <w:b/>
          <w:lang w:val="en-US"/>
        </w:rPr>
        <w:t xml:space="preserve"> VLB120</w:t>
      </w:r>
      <w:r w:rsidRPr="008441F8">
        <w:rPr>
          <w:b/>
          <w:lang w:val="en-US"/>
        </w:rPr>
        <w:t>.</w:t>
      </w:r>
      <w:bookmarkEnd w:id="19"/>
    </w:p>
    <w:p w14:paraId="58B87973" w14:textId="77777777" w:rsidR="00AE654E" w:rsidRPr="008441F8" w:rsidRDefault="00AE654E" w:rsidP="00B84A00">
      <w:pPr>
        <w:spacing w:line="276" w:lineRule="auto"/>
        <w:jc w:val="both"/>
        <w:rPr>
          <w:lang w:val="en-US"/>
        </w:rPr>
      </w:pPr>
      <w:r w:rsidRPr="008441F8">
        <w:rPr>
          <w:noProof/>
          <w:lang w:eastAsia="de-DE"/>
        </w:rPr>
        <w:lastRenderedPageBreak/>
        <w:drawing>
          <wp:inline distT="0" distB="0" distL="0" distR="0" wp14:anchorId="4DC77C47" wp14:editId="78F79086">
            <wp:extent cx="5760720" cy="222263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90564" cy="2234149"/>
                    </a:xfrm>
                    <a:prstGeom prst="rect">
                      <a:avLst/>
                    </a:prstGeom>
                    <a:noFill/>
                  </pic:spPr>
                </pic:pic>
              </a:graphicData>
            </a:graphic>
          </wp:inline>
        </w:drawing>
      </w:r>
    </w:p>
    <w:p w14:paraId="38182418" w14:textId="77777777" w:rsidR="00AE654E" w:rsidRPr="008441F8" w:rsidRDefault="00AE654E" w:rsidP="00B84A00">
      <w:pPr>
        <w:pStyle w:val="berschrift2"/>
        <w:spacing w:line="276" w:lineRule="auto"/>
        <w:rPr>
          <w:lang w:val="en-US"/>
        </w:rPr>
      </w:pPr>
      <w:bookmarkStart w:id="20" w:name="_Toc132047273"/>
      <w:r w:rsidRPr="008441F8">
        <w:rPr>
          <w:rStyle w:val="berschrift2Zchn"/>
          <w:b/>
          <w:lang w:val="en-US"/>
        </w:rPr>
        <w:t>Figure S16</w:t>
      </w:r>
      <w:r w:rsidRPr="008441F8">
        <w:rPr>
          <w:lang w:val="en-US"/>
        </w:rPr>
        <w:t>:</w:t>
      </w:r>
      <w:bookmarkEnd w:id="20"/>
      <w:r w:rsidRPr="008441F8">
        <w:rPr>
          <w:lang w:val="en-US"/>
        </w:rPr>
        <w:t xml:space="preserve"> </w:t>
      </w:r>
    </w:p>
    <w:p w14:paraId="112D751A" w14:textId="77777777" w:rsidR="00AE654E" w:rsidRPr="008441F8" w:rsidRDefault="00AE654E" w:rsidP="00B84A00">
      <w:pPr>
        <w:spacing w:line="276" w:lineRule="auto"/>
        <w:jc w:val="both"/>
        <w:rPr>
          <w:lang w:val="en-US"/>
        </w:rPr>
      </w:pPr>
      <w:r w:rsidRPr="008441F8">
        <w:rPr>
          <w:lang w:val="en-US"/>
        </w:rPr>
        <w:t>Biomass in OD</w:t>
      </w:r>
      <w:r w:rsidRPr="008441F8">
        <w:rPr>
          <w:vertAlign w:val="subscript"/>
          <w:lang w:val="en-US"/>
        </w:rPr>
        <w:t>600</w:t>
      </w:r>
      <w:r w:rsidRPr="008441F8">
        <w:rPr>
          <w:lang w:val="en-US"/>
        </w:rPr>
        <w:t xml:space="preserve"> (A) and cinnamate titer (B) after bioconversion towards pinosylvin with supplemented phenylalanine and/or cerulenin after 21 h. Error bars represent the standard deviation (n=3); for some OD</w:t>
      </w:r>
      <w:r w:rsidRPr="008441F8">
        <w:rPr>
          <w:vertAlign w:val="subscript"/>
          <w:lang w:val="en-US"/>
        </w:rPr>
        <w:t>600</w:t>
      </w:r>
      <w:r w:rsidRPr="008441F8">
        <w:rPr>
          <w:lang w:val="en-US"/>
        </w:rPr>
        <w:t xml:space="preserve"> values the error bar is too small to be displayed. </w:t>
      </w:r>
    </w:p>
    <w:p w14:paraId="17F22BC2" w14:textId="77777777" w:rsidR="00AE654E" w:rsidRPr="008441F8" w:rsidRDefault="00AE654E" w:rsidP="00B84A00">
      <w:pPr>
        <w:spacing w:line="276" w:lineRule="auto"/>
        <w:jc w:val="both"/>
        <w:rPr>
          <w:lang w:val="en-US"/>
        </w:rPr>
      </w:pPr>
    </w:p>
    <w:p w14:paraId="408565A0" w14:textId="77777777" w:rsidR="00AE654E" w:rsidRPr="008441F8" w:rsidRDefault="00AE654E" w:rsidP="00B84A00">
      <w:pPr>
        <w:pStyle w:val="berschrift2"/>
        <w:spacing w:line="276" w:lineRule="auto"/>
        <w:rPr>
          <w:lang w:val="en-US"/>
        </w:rPr>
      </w:pPr>
      <w:bookmarkStart w:id="21" w:name="_Toc132047274"/>
      <w:r w:rsidRPr="008441F8">
        <w:rPr>
          <w:b/>
          <w:lang w:val="en-US"/>
        </w:rPr>
        <w:t>Supplement S17:</w:t>
      </w:r>
      <w:r w:rsidRPr="008441F8">
        <w:rPr>
          <w:lang w:val="en-US"/>
        </w:rPr>
        <w:t xml:space="preserve"> Evaluation of platform strain GRC3</w:t>
      </w:r>
      <w:r w:rsidRPr="008441F8">
        <w:rPr>
          <w:rFonts w:cstheme="minorHAnsi"/>
          <w:lang w:val="en-US"/>
        </w:rPr>
        <w:t>Δ</w:t>
      </w:r>
      <w:r w:rsidRPr="008441F8">
        <w:rPr>
          <w:lang w:val="en-US"/>
        </w:rPr>
        <w:t>6</w:t>
      </w:r>
      <w:r>
        <w:rPr>
          <w:lang w:val="en-US"/>
        </w:rPr>
        <w:t xml:space="preserve"> </w:t>
      </w:r>
      <w:r w:rsidRPr="008441F8">
        <w:rPr>
          <w:lang w:val="en-US"/>
        </w:rPr>
        <w:t>MC-III by stilbenoid synthesis</w:t>
      </w:r>
      <w:bookmarkEnd w:id="21"/>
    </w:p>
    <w:p w14:paraId="58989526" w14:textId="77777777" w:rsidR="00AE654E" w:rsidRPr="008441F8" w:rsidRDefault="00AE654E" w:rsidP="00B84A00">
      <w:pPr>
        <w:spacing w:line="276" w:lineRule="auto"/>
        <w:jc w:val="both"/>
        <w:rPr>
          <w:lang w:val="en-US"/>
        </w:rPr>
      </w:pPr>
      <w:r w:rsidRPr="008441F8">
        <w:rPr>
          <w:lang w:val="en-US"/>
        </w:rPr>
        <w:t>Biotransformation experiments with GRC3</w:t>
      </w:r>
      <w:r w:rsidRPr="008441F8">
        <w:rPr>
          <w:rFonts w:cstheme="minorHAnsi"/>
          <w:lang w:val="en-US"/>
        </w:rPr>
        <w:t>Δ</w:t>
      </w:r>
      <w:r w:rsidRPr="008441F8">
        <w:rPr>
          <w:lang w:val="en-US"/>
        </w:rPr>
        <w:t>6</w:t>
      </w:r>
      <w:r>
        <w:rPr>
          <w:lang w:val="en-US"/>
        </w:rPr>
        <w:t xml:space="preserve"> </w:t>
      </w:r>
      <w:r w:rsidRPr="008441F8">
        <w:rPr>
          <w:lang w:val="en-US"/>
        </w:rPr>
        <w:t xml:space="preserve">MC-III revealed that higher pinosylvin titers can be obtained when phenylalanine is supplemented. To close the loop of the </w:t>
      </w:r>
      <w:r w:rsidRPr="008441F8">
        <w:rPr>
          <w:i/>
          <w:lang w:val="en-US"/>
        </w:rPr>
        <w:t>de novo</w:t>
      </w:r>
      <w:r w:rsidRPr="008441F8">
        <w:rPr>
          <w:lang w:val="en-US"/>
        </w:rPr>
        <w:t xml:space="preserve"> stilbenoid synthesis and to reduce the metabolic burden, only one point mutation, namely </w:t>
      </w:r>
      <w:r w:rsidRPr="008441F8">
        <w:rPr>
          <w:i/>
          <w:lang w:val="en-US"/>
        </w:rPr>
        <w:t>aroF-1</w:t>
      </w:r>
      <w:r w:rsidRPr="008441F8">
        <w:rPr>
          <w:vertAlign w:val="superscript"/>
          <w:lang w:val="en-US"/>
        </w:rPr>
        <w:t>P148L</w:t>
      </w:r>
      <w:r w:rsidRPr="008441F8">
        <w:rPr>
          <w:lang w:val="en-US"/>
        </w:rPr>
        <w:t xml:space="preserve"> </w:t>
      </w:r>
      <w:r w:rsidRPr="008441F8">
        <w:rPr>
          <w:lang w:val="en-US"/>
        </w:rPr>
        <w:fldChar w:fldCharType="begin" w:fldLock="1"/>
      </w:r>
      <w:r w:rsidRPr="008441F8">
        <w:rPr>
          <w:lang w:val="en-US"/>
        </w:rPr>
        <w:instrText>ADDIN CSL_CITATION {"citationItems":[{"id":"ITEM-1","itemData":{"DOI":"10.1016/j.ymben.2018.03.011","ISSN":"10967184","abstract":"Aromatic chemicals are important building blocks for the production of a multitude of everyday commodities. Currently, aromatics production relies almost exclusively on petrochemical processes. To achieve sustainability, alternative synthesis methods need to be developed. Here, we strived for an efficient production of phenol, a model aromatic compound of industrial relevance, from renewable carbon sources using the solvent-tolerant biocatalyst Pseudomonas taiwanensis VLB120. First, multiple catabolic routes for the degradation of aromatics and related compounds were inactivated, thereby obtaining the chassis strain P. taiwanensis VLB120Δ5 incapable of growing on 4-hydroxybenzoate (ΔpobA), tyrosine (Δhpd), and quinate (ΔquiC, ΔquiC1, ΔquiC2). In this context, a novel gene contributing to the quinate catabolism was identified (quiC2). Second, we employed a combination of reverse- and forward engineering to increase metabolic flux towards the product, using leads obtained from the analysis of aromatics producing Pseudomonas putida strains previously generated by mutagenesis. Phenol production was enabled by the heterologous expression of a codon-optimized and chromosomally integrated tyrosine phenol-lyase encoding gene from Pantoea agglomerans AJ2985 (PaTPL2). The genomic modification of endogenous genes encoding TrpEP290S, AroF-1P148L, and PheAT310I, and the deletion of pykA improved phenol production 17-fold, while also minimizing the burden caused by plasmids and auxotrophies. The additional overexpression of known bottleneck enzymes (AroGfbr, TyrAfbr) derived from Escherichia coli further enhanced phenol titers. The best producing strain P. taiwanensis VLB120Δ5-TPL36 reached yields of 15.8% and 18.5% (Cmol/Cmol) phenol from glucose and glycerol, respectively, in a mineral medium without addition of complex nutrients. This is the highest yield ever reported for microbially produced phenol.","author":[{"dropping-particle":"","family":"Wynands","given":"Benedikt","non-dropping-particle":"","parse-names":false,"suffix":""},{"dropping-particle":"","family":"Lenzen","given":"Christoph","non-dropping-particle":"","parse-names":false,"suffix":""},{"dropping-particle":"","family":"Otto","given":"Maike","non-dropping-particle":"","parse-names":false,"suffix":""},{"dropping-particle":"","family":"Koch","given":"Falk","non-dropping-particle":"","parse-names":false,"suffix":""},{"dropping-particle":"","family":"Blank","given":"Lars M.","non-dropping-particle":"","parse-names":false,"suffix":""},{"dropping-particle":"","family":"Wierckx","given":"Nick","non-dropping-particle":"","parse-names":false,"suffix":""}],"container-title":"Metabolic Engineering","id":"ITEM-1","issue":"December 2017","issued":{"date-parts":[["2018"]]},"page":"121-133","publisher":"Elsevier Inc.","title":"Metabolic engineering of &lt;i&gt;Pseudomonas taiwanensis&lt;/i&gt; VLB120 with minimal genomic modifications for high-yield phenol production","type":"article-journal","volume":"47"},"uris":["http://www.mendeley.com/documents/?uuid=4f57a70f-b323-400a-8556-964eeabbceb1"]}],"mendeley":{"formattedCitation":"(Wynands et al., 2018)","plainTextFormattedCitation":"(Wynands et al., 2018)","previouslyFormattedCitation":"(Wynands et al., 2018)"},"properties":{"noteIndex":0},"schema":"https://github.com/citation-style-language/schema/raw/master/csl-citation.json"}</w:instrText>
      </w:r>
      <w:r w:rsidRPr="008441F8">
        <w:rPr>
          <w:lang w:val="en-US"/>
        </w:rPr>
        <w:fldChar w:fldCharType="separate"/>
      </w:r>
      <w:r w:rsidRPr="008441F8">
        <w:rPr>
          <w:noProof/>
          <w:lang w:val="en-US"/>
        </w:rPr>
        <w:t>(Wynands et al., 2018)</w:t>
      </w:r>
      <w:r w:rsidRPr="008441F8">
        <w:rPr>
          <w:lang w:val="en-US"/>
        </w:rPr>
        <w:fldChar w:fldCharType="end"/>
      </w:r>
      <w:r w:rsidRPr="008441F8">
        <w:rPr>
          <w:lang w:val="en-US"/>
        </w:rPr>
        <w:t xml:space="preserve"> was introduced into GRC3</w:t>
      </w:r>
      <w:r w:rsidRPr="008441F8">
        <w:rPr>
          <w:rFonts w:cstheme="minorHAnsi"/>
          <w:lang w:val="en-US"/>
        </w:rPr>
        <w:t>Δ</w:t>
      </w:r>
      <w:r w:rsidRPr="008441F8">
        <w:rPr>
          <w:lang w:val="en-US"/>
        </w:rPr>
        <w:t>6</w:t>
      </w:r>
      <w:r>
        <w:rPr>
          <w:lang w:val="en-US"/>
        </w:rPr>
        <w:t xml:space="preserve"> </w:t>
      </w:r>
      <w:r w:rsidRPr="008441F8">
        <w:rPr>
          <w:lang w:val="en-US"/>
        </w:rPr>
        <w:t xml:space="preserve">MC-III to moderately increase the flux into the shikimate pathway. </w:t>
      </w:r>
    </w:p>
    <w:p w14:paraId="709EAD77" w14:textId="77777777" w:rsidR="00AE654E" w:rsidRPr="008441F8" w:rsidRDefault="00AE654E" w:rsidP="00B84A00">
      <w:pPr>
        <w:spacing w:line="276" w:lineRule="auto"/>
        <w:jc w:val="both"/>
        <w:rPr>
          <w:lang w:val="en-US"/>
        </w:rPr>
      </w:pPr>
      <w:r w:rsidRPr="008441F8">
        <w:rPr>
          <w:lang w:val="en-US"/>
        </w:rPr>
        <w:t>The strains were grown in minimal medium with 30 mM glucose with and without supplementation of 0.5 mM of the respective phenylpropanoid or aromatic amino acid.</w:t>
      </w:r>
      <w:r w:rsidRPr="008441F8">
        <w:rPr>
          <w:iCs/>
          <w:lang w:val="en-US"/>
        </w:rPr>
        <w:t xml:space="preserve"> Under these conditions, </w:t>
      </w:r>
      <w:r w:rsidRPr="008441F8">
        <w:rPr>
          <w:i/>
          <w:lang w:val="en-US"/>
        </w:rPr>
        <w:t>de novo</w:t>
      </w:r>
      <w:r w:rsidRPr="008441F8">
        <w:rPr>
          <w:lang w:val="en-US"/>
        </w:rPr>
        <w:t xml:space="preserve"> synthesis of 12.3 ± 4.9 mg L</w:t>
      </w:r>
      <w:r w:rsidRPr="008441F8">
        <w:rPr>
          <w:vertAlign w:val="superscript"/>
          <w:lang w:val="en-US"/>
        </w:rPr>
        <w:t>-1</w:t>
      </w:r>
      <w:r w:rsidRPr="008441F8">
        <w:rPr>
          <w:lang w:val="en-US"/>
        </w:rPr>
        <w:t xml:space="preserve"> (0.06 mM) pinosylvin and 3.8 ± 0.8 mg L</w:t>
      </w:r>
      <w:r w:rsidRPr="008441F8">
        <w:rPr>
          <w:vertAlign w:val="superscript"/>
          <w:lang w:val="en-US"/>
        </w:rPr>
        <w:t>-1</w:t>
      </w:r>
      <w:r w:rsidRPr="008441F8">
        <w:rPr>
          <w:lang w:val="en-US"/>
        </w:rPr>
        <w:t xml:space="preserve"> (0.017 mM) resveratrol was </w:t>
      </w:r>
      <w:r w:rsidRPr="008441F8">
        <w:rPr>
          <w:lang w:val="en-US"/>
        </w:rPr>
        <w:lastRenderedPageBreak/>
        <w:t>achieved using the GRC3Δ6</w:t>
      </w:r>
      <w:r>
        <w:rPr>
          <w:lang w:val="en-US"/>
        </w:rPr>
        <w:t xml:space="preserve"> </w:t>
      </w:r>
      <w:r w:rsidRPr="008441F8">
        <w:rPr>
          <w:lang w:val="en-US"/>
        </w:rPr>
        <w:t>MC</w:t>
      </w:r>
      <w:r w:rsidRPr="008441F8">
        <w:rPr>
          <w:lang w:val="en-US"/>
        </w:rPr>
        <w:noBreakHyphen/>
        <w:t xml:space="preserve">III strain (Supplementary S15, Supplementary S16). </w:t>
      </w:r>
      <w:r w:rsidRPr="008441F8">
        <w:rPr>
          <w:i/>
          <w:lang w:val="en-US"/>
        </w:rPr>
        <w:t>De novo</w:t>
      </w:r>
      <w:r w:rsidRPr="008441F8">
        <w:rPr>
          <w:lang w:val="en-US"/>
        </w:rPr>
        <w:t xml:space="preserve"> formation of pinosylvin was higher than resveratrol, but this was likely due to the different precursor supply provided by different PAL/TAL activities. </w:t>
      </w:r>
    </w:p>
    <w:p w14:paraId="1271A632" w14:textId="77777777" w:rsidR="00AE654E" w:rsidRPr="008441F8" w:rsidRDefault="00AE654E" w:rsidP="00B84A00">
      <w:pPr>
        <w:spacing w:line="276" w:lineRule="auto"/>
        <w:jc w:val="both"/>
        <w:rPr>
          <w:lang w:val="en-US"/>
        </w:rPr>
      </w:pPr>
      <w:r w:rsidRPr="008441F8">
        <w:rPr>
          <w:lang w:val="en-US"/>
        </w:rPr>
        <w:t xml:space="preserve">With cinnamate or phenylalanine supplementation the pinosylvin titers were not further increased but the overall high variance in pinosylvin titers may hide potential tendencies which were previously observable in high biomass biotransformation. This clonal variability remained also in a separate experiment (data not shown), indicating a genetic instability. The </w:t>
      </w:r>
      <w:r w:rsidRPr="008441F8">
        <w:rPr>
          <w:i/>
          <w:lang w:val="en-US"/>
        </w:rPr>
        <w:t>p</w:t>
      </w:r>
      <w:r w:rsidRPr="008441F8">
        <w:rPr>
          <w:lang w:val="en-US"/>
        </w:rPr>
        <w:noBreakHyphen/>
        <w:t xml:space="preserve">coumarate titers of </w:t>
      </w:r>
      <w:r w:rsidRPr="008441F8">
        <w:rPr>
          <w:i/>
          <w:lang w:val="en-US"/>
        </w:rPr>
        <w:t>aroF-1</w:t>
      </w:r>
      <w:r w:rsidRPr="008441F8">
        <w:rPr>
          <w:vertAlign w:val="superscript"/>
          <w:lang w:val="en-US"/>
        </w:rPr>
        <w:t>P148L</w:t>
      </w:r>
      <w:r w:rsidRPr="008441F8">
        <w:rPr>
          <w:lang w:val="en-US"/>
        </w:rPr>
        <w:t xml:space="preserve"> mutant were not higher than from parental GRC3Δ6</w:t>
      </w:r>
      <w:r>
        <w:rPr>
          <w:lang w:val="en-US"/>
        </w:rPr>
        <w:t xml:space="preserve"> </w:t>
      </w:r>
      <w:r w:rsidRPr="008441F8">
        <w:rPr>
          <w:lang w:val="en-US"/>
        </w:rPr>
        <w:t xml:space="preserve">MC-III, but these titers were anyway one order of magnitude lower than that of cinnamate, likely due to a higher Km value of StsTAL </w:t>
      </w:r>
      <w:r w:rsidRPr="008441F8">
        <w:rPr>
          <w:rStyle w:val="Kommentarzeichen"/>
          <w:rFonts w:eastAsiaTheme="minorEastAsia"/>
          <w:lang w:val="en-US"/>
        </w:rPr>
        <w:fldChar w:fldCharType="begin" w:fldLock="1"/>
      </w:r>
      <w:r w:rsidRPr="008441F8">
        <w:rPr>
          <w:rStyle w:val="Kommentarzeichen"/>
          <w:rFonts w:eastAsiaTheme="minorEastAsia"/>
          <w:lang w:val="en-US"/>
        </w:rPr>
        <w:instrText>ADDIN CSL_CITATION {"citationItems":[{"id":"ITEM-1","itemData":{"DOI":"10.1007/s00449-020-02325-5","ISBN":"0123456789","ISSN":"16157605","PMID":"32198549","abstract":"p-Coumaric acid (p-CA) is a bioactive natural product and an important industrial material for pharmaceuticals and nutraceuticals. It can be synthesized from deamination of l-tyrosine by tyrosine ammonia lyase (TAL). In this work, we discovered two aromatic amino acid lyase genes, Sas-tal and Sts-tal, from Saccharothrix sp. NRRL B-16348 and Streptomyces sp. NRRL F-4489, respectively, and expressed them in Escherichia coli BL21(DE3). The two enzymes were functionally characterized as TAL. The optimum reaction temperature for Sas-TAL and Sts-TAL is 55 °C and 50 °C, respectively; while, the optimum pH for both TALs is 11. Sas-TAL had a kcat/Km value of 6.2 μM−1 min−1, while Sts-TAL had a much higher efficiency with a kcat/Km value of 78.3 μM−1 min−1. Both Sts-TAL and Sas-TAL can also take l-phenylalanine as the substrate to yield trans-cinnamic acid, and Sas-TAL showed much higher phenylalanine ammonia lyase activity than Sts-TAL. Using E. coli/Sts-TAL as a whole-cell biocatalyst, the productivity of p-CA reached 2.88 ± 0.12 g (L h)−1, which represents the highest efficiency for microbial production of p-CA. Therefore, this work not only reports the identification of two new TALs from actinomycetes, but also provides an efficient way to produce the industrially valuable material p-CA.","author":[{"dropping-particle":"","family":"Cui","given":"Peiwu","non-dropping-particle":"","parse-names":false,"suffix":""},{"dropping-particle":"","family":"Zhong","given":"Weihong","non-dropping-particle":"","parse-names":false,"suffix":""},{"dropping-particle":"","family":"Qin","given":"Yong","non-dropping-particle":"","parse-names":false,"suffix":""},{"dropping-particle":"","family":"Tao","given":"Fuping","non-dropping-particle":"","parse-names":false,"suffix":""},{"dropping-particle":"","family":"Wang","given":"Wei","non-dropping-particle":"","parse-names":false,"suffix":""},{"dropping-particle":"","family":"Zhan","given":"Jixun","non-dropping-particle":"","parse-names":false,"suffix":""}],"container-title":"Bioprocess and Biosystems Engineering","id":"ITEM-1","issue":"7","issued":{"date-parts":[["2020"]]},"note":"sts-TAL is a specific TAL with relatively high activity\nhttps://www.ncbi.nlm.nih.gov/protein/WP_066973014.1?report=genpept","page":"1287-1298","publisher":"Springer Berlin Heidelberg","title":"Characterization of two new aromatic amino acid lyases from actinomycetes for highly efficient production of &lt;i&gt;p&lt;/i&gt;-coumaric acid","type":"article-journal","volume":"43"},"uris":["http://www.mendeley.com/documents/?uuid=d7c2a427-1f55-4b7a-b83b-e24376422431"]}],"mendeley":{"formattedCitation":"(Cui et al., 2020)","plainTextFormattedCitation":"(Cui et al., 2020)","previouslyFormattedCitation":"(Cui et al., 2020)"},"properties":{"noteIndex":0},"schema":"https://github.com/citation-style-language/schema/raw/master/csl-citation.json"}</w:instrText>
      </w:r>
      <w:r w:rsidRPr="008441F8">
        <w:rPr>
          <w:rStyle w:val="Kommentarzeichen"/>
          <w:rFonts w:eastAsiaTheme="minorEastAsia"/>
          <w:lang w:val="en-US"/>
        </w:rPr>
        <w:fldChar w:fldCharType="separate"/>
      </w:r>
      <w:r w:rsidRPr="008441F8">
        <w:rPr>
          <w:rStyle w:val="Kommentarzeichen"/>
          <w:rFonts w:eastAsiaTheme="minorEastAsia"/>
          <w:noProof/>
          <w:lang w:val="en-US"/>
        </w:rPr>
        <w:t>(Cui et al., 2020)</w:t>
      </w:r>
      <w:r w:rsidRPr="008441F8">
        <w:rPr>
          <w:rStyle w:val="Kommentarzeichen"/>
          <w:rFonts w:eastAsiaTheme="minorEastAsia"/>
          <w:lang w:val="en-US"/>
        </w:rPr>
        <w:fldChar w:fldCharType="end"/>
      </w:r>
      <w:r w:rsidRPr="008441F8">
        <w:rPr>
          <w:lang w:val="en-US"/>
        </w:rPr>
        <w:t xml:space="preserve"> than AtPAL2 </w:t>
      </w:r>
      <w:r w:rsidRPr="008441F8">
        <w:rPr>
          <w:lang w:val="en-US"/>
        </w:rPr>
        <w:fldChar w:fldCharType="begin" w:fldLock="1"/>
      </w:r>
      <w:r w:rsidRPr="008441F8">
        <w:rPr>
          <w:lang w:val="en-US"/>
        </w:rPr>
        <w:instrText>ADDIN CSL_CITATION {"citationItems":[{"id":"ITEM-1","itemData":{"DOI":"10.1016/j.phytochem.2004.05.006","ISBN":"1509335838","ISSN":"00319422","abstract":"In Arabidopsis thaliana, four genes have been annotated as provisionally encoding PAL. In this study, recombinant native AtPAL1, 2, and 4 were demonstrated to be catalytically competent for L-phenylalanine deamination, whereas AtPAL3, obtained as a N-terminal His-tagged protein, was of very low activity and only detectable at high substrate concentrations. All four PALs displayed similar pH optima, but not temperature optima; AtPAL3 had a lower temperature optimum than the other three isoforms. AtPAL1, 2 and 4 had similar Km values (64-71 μM) for L-Phe, with AtPAL2 apparently being slightly more catalytically efficacious due to decreased Km and higher kcat values, relative to the others. As anticipated, PAL activities with L-tyrosine were either low (AtPAL1, 2, and 4) or undetectable (AtPAL3), thereby establishing that L-Phe is the true physiological substrate. This detailed knowledge of the kinetic and functional properties of the various PAL isoforms now provides the necessary biochemical foundation required for the systematic investigation and dissection of the organization of the PAL metabolic network/gene circuitry involved in numerous aspects of phenylpropanoid metabolism in A. thaliana spanning various cell types, tissues and organs. © 2004 Elsevier Ltd. All rights reserved.","author":[{"dropping-particle":"","family":"Cochrane","given":"Fiona C.","non-dropping-particle":"","parse-names":false,"suffix":""},{"dropping-particle":"","family":"Davin","given":"Laurence B.","non-dropping-particle":"","parse-names":false,"suffix":""},{"dropping-particle":"","family":"Lewis","given":"Norman G.","non-dropping-particle":"","parse-names":false,"suffix":""}],"container-title":"Phytochemistry","id":"ITEM-1","issue":"11","issued":{"date-parts":[["2004"]]},"note":"AtPAL2 is used in my studies","page":"1557-1564","title":"The &lt;i&gt;Arabidopsis&lt;/i&gt; phenylalanine ammonia lyase gene family: Kinetic characterization of the four PAL isoforms","type":"article-journal","volume":"65"},"uris":["http://www.mendeley.com/documents/?uuid=25338f05-62e1-490d-857d-98d7d7dc1118"]}],"mendeley":{"formattedCitation":"(Cochrane et al., 2004)","plainTextFormattedCitation":"(Cochrane et al., 2004)","previouslyFormattedCitation":"(Cochrane et al., 2004)"},"properties":{"noteIndex":0},"schema":"https://github.com/citation-style-language/schema/raw/master/csl-citation.json"}</w:instrText>
      </w:r>
      <w:r w:rsidRPr="008441F8">
        <w:rPr>
          <w:lang w:val="en-US"/>
        </w:rPr>
        <w:fldChar w:fldCharType="separate"/>
      </w:r>
      <w:r w:rsidRPr="008441F8">
        <w:rPr>
          <w:noProof/>
          <w:lang w:val="en-US"/>
        </w:rPr>
        <w:t>(Cochrane et al., 2004)</w:t>
      </w:r>
      <w:r w:rsidRPr="008441F8">
        <w:rPr>
          <w:lang w:val="en-US"/>
        </w:rPr>
        <w:fldChar w:fldCharType="end"/>
      </w:r>
      <w:r w:rsidRPr="008441F8">
        <w:rPr>
          <w:lang w:val="en-US"/>
        </w:rPr>
        <w:t>. The supplementation of tyrosine reduced resveratrol titers below 1 mg L</w:t>
      </w:r>
      <w:r w:rsidRPr="008441F8">
        <w:rPr>
          <w:vertAlign w:val="superscript"/>
          <w:lang w:val="en-US"/>
        </w:rPr>
        <w:t>-1</w:t>
      </w:r>
      <w:r w:rsidRPr="008441F8">
        <w:rPr>
          <w:lang w:val="en-US"/>
        </w:rPr>
        <w:t xml:space="preserve">. Here, it has to be considered that the used strain is also able to form some </w:t>
      </w:r>
      <w:r w:rsidRPr="008441F8">
        <w:rPr>
          <w:i/>
          <w:lang w:val="en-US"/>
        </w:rPr>
        <w:t>de novo</w:t>
      </w:r>
      <w:r w:rsidRPr="008441F8">
        <w:rPr>
          <w:lang w:val="en-US"/>
        </w:rPr>
        <w:t xml:space="preserve">-synthesized </w:t>
      </w:r>
      <w:r w:rsidRPr="008441F8">
        <w:rPr>
          <w:i/>
          <w:lang w:val="en-US"/>
        </w:rPr>
        <w:t>p</w:t>
      </w:r>
      <w:r w:rsidRPr="008441F8">
        <w:rPr>
          <w:lang w:val="en-US"/>
        </w:rPr>
        <w:noBreakHyphen/>
        <w:t xml:space="preserve">coumarate through StsTAL activity. </w:t>
      </w:r>
    </w:p>
    <w:p w14:paraId="2D01784C" w14:textId="77777777" w:rsidR="00AE654E" w:rsidRPr="008441F8" w:rsidRDefault="00AE654E" w:rsidP="00B84A00">
      <w:pPr>
        <w:spacing w:line="276" w:lineRule="auto"/>
        <w:jc w:val="both"/>
        <w:rPr>
          <w:lang w:val="en-US"/>
        </w:rPr>
      </w:pPr>
      <w:r w:rsidRPr="008441F8">
        <w:rPr>
          <w:noProof/>
          <w:lang w:eastAsia="de-DE"/>
        </w:rPr>
        <w:drawing>
          <wp:inline distT="0" distB="0" distL="0" distR="0" wp14:anchorId="4C7051A0" wp14:editId="0BF8452A">
            <wp:extent cx="2945043" cy="24548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0866" cy="2476375"/>
                    </a:xfrm>
                    <a:prstGeom prst="rect">
                      <a:avLst/>
                    </a:prstGeom>
                    <a:noFill/>
                    <a:ln>
                      <a:noFill/>
                    </a:ln>
                  </pic:spPr>
                </pic:pic>
              </a:graphicData>
            </a:graphic>
          </wp:inline>
        </w:drawing>
      </w:r>
    </w:p>
    <w:p w14:paraId="2C70D4ED" w14:textId="77777777" w:rsidR="00AE654E" w:rsidRPr="008441F8" w:rsidRDefault="00AE654E" w:rsidP="00B84A00">
      <w:pPr>
        <w:spacing w:line="276" w:lineRule="auto"/>
        <w:jc w:val="both"/>
        <w:rPr>
          <w:lang w:val="en-US"/>
        </w:rPr>
      </w:pPr>
      <w:r w:rsidRPr="008441F8">
        <w:rPr>
          <w:b/>
          <w:lang w:val="en-US"/>
        </w:rPr>
        <w:t>Figure S17</w:t>
      </w:r>
      <w:r w:rsidRPr="008441F8">
        <w:rPr>
          <w:lang w:val="en-US"/>
        </w:rPr>
        <w:t xml:space="preserve">: Titers of pinosylvin and cinnamate in </w:t>
      </w:r>
      <w:r w:rsidRPr="008441F8">
        <w:rPr>
          <w:i/>
          <w:lang w:val="en-US"/>
        </w:rPr>
        <w:t>de novo</w:t>
      </w:r>
      <w:r w:rsidRPr="008441F8">
        <w:rPr>
          <w:lang w:val="en-US"/>
        </w:rPr>
        <w:t xml:space="preserve"> production experiments and with supplementation of phenylalanine (0.5 mM) or cinnamate </w:t>
      </w:r>
      <w:r w:rsidRPr="008441F8">
        <w:rPr>
          <w:lang w:val="en-US"/>
        </w:rPr>
        <w:lastRenderedPageBreak/>
        <w:t>(0.5 mM). Cultivation was performed in MSM 30 mM glucose with 3x buffer in 1.5 mL square-well System Duetz plate, initial OD</w:t>
      </w:r>
      <w:r w:rsidRPr="008441F8">
        <w:rPr>
          <w:vertAlign w:val="subscript"/>
          <w:lang w:val="en-US"/>
        </w:rPr>
        <w:t>600</w:t>
      </w:r>
      <w:r w:rsidRPr="008441F8">
        <w:rPr>
          <w:lang w:val="en-US"/>
        </w:rPr>
        <w:t xml:space="preserve"> was 0.2, sampled after 24 h. Individual pinosylvin titers are indicated by a triangle. Error bars represent the standard deviation (n=3) and * indicates p&lt;0.05 confidence interval (***, p</w:t>
      </w:r>
      <w:r w:rsidRPr="008441F8">
        <w:rPr>
          <w:rFonts w:cstheme="minorHAnsi"/>
          <w:lang w:val="en-US"/>
        </w:rPr>
        <w:t>≤</w:t>
      </w:r>
      <w:r w:rsidRPr="008441F8">
        <w:rPr>
          <w:lang w:val="en-US"/>
        </w:rPr>
        <w:t>0.001; ****, p</w:t>
      </w:r>
      <w:r w:rsidRPr="008441F8">
        <w:rPr>
          <w:rFonts w:cstheme="minorHAnsi"/>
          <w:lang w:val="en-US"/>
        </w:rPr>
        <w:t>≤</w:t>
      </w:r>
      <w:r w:rsidRPr="008441F8">
        <w:rPr>
          <w:lang w:val="en-US"/>
        </w:rPr>
        <w:t>0.0001) of two-way ANOVA analysis. Abbreviation: ns, not significant, MSM, mineral salt medium; phe, phenylalanine; cinn, cinnamate.</w:t>
      </w:r>
    </w:p>
    <w:p w14:paraId="7FA54F5A" w14:textId="77777777" w:rsidR="00AE654E" w:rsidRPr="008441F8" w:rsidRDefault="00AE654E" w:rsidP="00B84A00">
      <w:pPr>
        <w:spacing w:line="276" w:lineRule="auto"/>
        <w:jc w:val="both"/>
        <w:rPr>
          <w:lang w:val="en-US"/>
        </w:rPr>
      </w:pPr>
    </w:p>
    <w:p w14:paraId="03E225F0" w14:textId="77777777" w:rsidR="00AE654E" w:rsidRPr="008441F8" w:rsidRDefault="00AE654E" w:rsidP="00B84A00">
      <w:pPr>
        <w:spacing w:line="276" w:lineRule="auto"/>
        <w:jc w:val="both"/>
        <w:rPr>
          <w:lang w:val="en-US"/>
        </w:rPr>
      </w:pPr>
      <w:r w:rsidRPr="008441F8">
        <w:rPr>
          <w:noProof/>
          <w:lang w:eastAsia="de-DE"/>
        </w:rPr>
        <w:drawing>
          <wp:inline distT="0" distB="0" distL="0" distR="0" wp14:anchorId="4E820E29" wp14:editId="6E6613AF">
            <wp:extent cx="5760720" cy="292719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2927193"/>
                    </a:xfrm>
                    <a:prstGeom prst="rect">
                      <a:avLst/>
                    </a:prstGeom>
                    <a:noFill/>
                    <a:ln>
                      <a:noFill/>
                    </a:ln>
                  </pic:spPr>
                </pic:pic>
              </a:graphicData>
            </a:graphic>
          </wp:inline>
        </w:drawing>
      </w:r>
    </w:p>
    <w:p w14:paraId="15D60D94" w14:textId="77777777" w:rsidR="00AE654E" w:rsidRPr="008441F8" w:rsidRDefault="00AE654E" w:rsidP="00B84A00">
      <w:pPr>
        <w:pStyle w:val="berschrift2"/>
        <w:spacing w:line="276" w:lineRule="auto"/>
        <w:rPr>
          <w:lang w:val="en-US"/>
        </w:rPr>
      </w:pPr>
      <w:bookmarkStart w:id="22" w:name="_Toc132047275"/>
      <w:r w:rsidRPr="008441F8">
        <w:rPr>
          <w:rStyle w:val="berschrift2Zchn"/>
          <w:b/>
          <w:lang w:val="en-US"/>
        </w:rPr>
        <w:t>Figure S18</w:t>
      </w:r>
      <w:r w:rsidRPr="008441F8">
        <w:rPr>
          <w:lang w:val="en-US"/>
        </w:rPr>
        <w:t>:</w:t>
      </w:r>
      <w:bookmarkEnd w:id="22"/>
      <w:r w:rsidRPr="008441F8">
        <w:rPr>
          <w:lang w:val="en-US"/>
        </w:rPr>
        <w:t xml:space="preserve"> </w:t>
      </w:r>
    </w:p>
    <w:p w14:paraId="620BAFCC" w14:textId="491D537C" w:rsidR="00AE654E" w:rsidRPr="008441F8" w:rsidRDefault="00AE654E" w:rsidP="00B84A00">
      <w:pPr>
        <w:spacing w:line="276" w:lineRule="auto"/>
        <w:jc w:val="both"/>
        <w:rPr>
          <w:lang w:val="en-US"/>
        </w:rPr>
      </w:pPr>
      <w:r w:rsidRPr="008441F8">
        <w:rPr>
          <w:lang w:val="en-US"/>
        </w:rPr>
        <w:t xml:space="preserve">Stacked pinosylvin and cinnamate titers in mM from </w:t>
      </w:r>
      <w:r w:rsidRPr="008441F8">
        <w:rPr>
          <w:i/>
          <w:lang w:val="en-US"/>
        </w:rPr>
        <w:t>de novo</w:t>
      </w:r>
      <w:r w:rsidRPr="008441F8">
        <w:rPr>
          <w:lang w:val="en-US"/>
        </w:rPr>
        <w:t xml:space="preserve"> production experiments and with supplementation of phenylalanine (0.5 mM) or cinnamate (0.5 mM) (A); and stacked titers of resveratrol and </w:t>
      </w:r>
      <w:r w:rsidRPr="008441F8">
        <w:rPr>
          <w:i/>
          <w:iCs/>
          <w:lang w:val="en-US"/>
        </w:rPr>
        <w:t>p</w:t>
      </w:r>
      <w:r w:rsidRPr="008441F8">
        <w:rPr>
          <w:lang w:val="en-US"/>
        </w:rPr>
        <w:t xml:space="preserve">-coumarate from </w:t>
      </w:r>
      <w:r w:rsidRPr="008441F8">
        <w:rPr>
          <w:i/>
          <w:iCs/>
          <w:lang w:val="en-US"/>
        </w:rPr>
        <w:t>de novo</w:t>
      </w:r>
      <w:r w:rsidRPr="008441F8">
        <w:rPr>
          <w:lang w:val="en-US"/>
        </w:rPr>
        <w:t xml:space="preserve"> synthesis and supplemented approaches with tyrosine (0.5 mM) or </w:t>
      </w:r>
      <w:r w:rsidRPr="008441F8">
        <w:rPr>
          <w:i/>
          <w:iCs/>
          <w:lang w:val="en-US"/>
        </w:rPr>
        <w:t>p</w:t>
      </w:r>
      <w:r w:rsidRPr="008441F8">
        <w:rPr>
          <w:lang w:val="en-US"/>
        </w:rPr>
        <w:t>-coumarate (0.5 mM) (B). Experimental conditions: MSM with initial OD</w:t>
      </w:r>
      <w:r w:rsidRPr="008441F8">
        <w:rPr>
          <w:vertAlign w:val="subscript"/>
          <w:lang w:val="en-US"/>
        </w:rPr>
        <w:t>600</w:t>
      </w:r>
      <w:r w:rsidRPr="008441F8">
        <w:rPr>
          <w:lang w:val="en-US"/>
        </w:rPr>
        <w:t xml:space="preserve"> of 0.2 in 1.5 mL System Duetz cultures at 30°C, 300 rpm, 50 mm amplitude, sampling after 24 h. Error bars represent the standard deviation (n=3)</w:t>
      </w:r>
    </w:p>
    <w:p w14:paraId="7564211D" w14:textId="77777777" w:rsidR="00AE654E" w:rsidRPr="008441F8" w:rsidRDefault="00AE654E" w:rsidP="00B84A00">
      <w:pPr>
        <w:spacing w:line="276" w:lineRule="auto"/>
        <w:rPr>
          <w:lang w:val="en-US"/>
        </w:rPr>
        <w:sectPr w:rsidR="00AE654E" w:rsidRPr="008441F8" w:rsidSect="000165F5">
          <w:pgSz w:w="11906" w:h="16838"/>
          <w:pgMar w:top="1418" w:right="1417" w:bottom="1135" w:left="1417" w:header="708" w:footer="708" w:gutter="0"/>
          <w:cols w:space="708"/>
          <w:docGrid w:linePitch="360"/>
        </w:sectPr>
      </w:pPr>
    </w:p>
    <w:p w14:paraId="1D5746FB" w14:textId="77777777" w:rsidR="00AE654E" w:rsidRPr="008441F8" w:rsidRDefault="00AE654E" w:rsidP="00B84A00">
      <w:pPr>
        <w:pStyle w:val="berschrift2"/>
        <w:spacing w:line="276" w:lineRule="auto"/>
        <w:rPr>
          <w:lang w:val="en-US"/>
        </w:rPr>
      </w:pPr>
      <w:bookmarkStart w:id="23" w:name="_Toc132047276"/>
      <w:r w:rsidRPr="008441F8">
        <w:rPr>
          <w:rStyle w:val="berschrift2Zchn"/>
          <w:b/>
          <w:bCs/>
          <w:lang w:val="en-US"/>
        </w:rPr>
        <w:lastRenderedPageBreak/>
        <w:t>Table S19:</w:t>
      </w:r>
      <w:r w:rsidRPr="008441F8">
        <w:rPr>
          <w:lang w:val="en-US"/>
        </w:rPr>
        <w:t xml:space="preserve"> </w:t>
      </w:r>
      <w:r w:rsidRPr="008441F8">
        <w:rPr>
          <w:sz w:val="24"/>
          <w:szCs w:val="24"/>
          <w:lang w:val="en-US"/>
        </w:rPr>
        <w:t>Different bioconversions in shake flasks and 24 square well plates with indicated substrate, precursor, product titers after approx. 25 h</w:t>
      </w:r>
      <w:bookmarkEnd w:id="23"/>
    </w:p>
    <w:tbl>
      <w:tblPr>
        <w:tblStyle w:val="Tabellenraster"/>
        <w:tblW w:w="14312" w:type="dxa"/>
        <w:tblLook w:val="04A0" w:firstRow="1" w:lastRow="0" w:firstColumn="1" w:lastColumn="0" w:noHBand="0" w:noVBand="1"/>
      </w:tblPr>
      <w:tblGrid>
        <w:gridCol w:w="2122"/>
        <w:gridCol w:w="1559"/>
        <w:gridCol w:w="992"/>
        <w:gridCol w:w="1985"/>
        <w:gridCol w:w="850"/>
        <w:gridCol w:w="709"/>
        <w:gridCol w:w="2126"/>
        <w:gridCol w:w="2268"/>
        <w:gridCol w:w="1701"/>
      </w:tblGrid>
      <w:tr w:rsidR="00AE654E" w:rsidRPr="008441F8" w14:paraId="507272A8" w14:textId="77777777" w:rsidTr="005B7F65">
        <w:trPr>
          <w:trHeight w:val="430"/>
        </w:trPr>
        <w:tc>
          <w:tcPr>
            <w:tcW w:w="2122" w:type="dxa"/>
            <w:vAlign w:val="center"/>
          </w:tcPr>
          <w:p w14:paraId="384ABEF6" w14:textId="77777777" w:rsidR="00AE654E" w:rsidRPr="008441F8" w:rsidRDefault="00AE654E" w:rsidP="000165F5">
            <w:pPr>
              <w:jc w:val="center"/>
              <w:rPr>
                <w:b/>
                <w:sz w:val="16"/>
                <w:lang w:val="en-US"/>
              </w:rPr>
            </w:pPr>
            <w:r w:rsidRPr="008441F8">
              <w:rPr>
                <w:b/>
                <w:sz w:val="16"/>
                <w:lang w:val="en-US"/>
              </w:rPr>
              <w:t>Strain basis</w:t>
            </w:r>
          </w:p>
        </w:tc>
        <w:tc>
          <w:tcPr>
            <w:tcW w:w="1559" w:type="dxa"/>
            <w:vAlign w:val="center"/>
          </w:tcPr>
          <w:p w14:paraId="268CAA8D" w14:textId="77777777" w:rsidR="00AE654E" w:rsidRPr="008441F8" w:rsidRDefault="00AE654E" w:rsidP="000165F5">
            <w:pPr>
              <w:jc w:val="center"/>
              <w:rPr>
                <w:b/>
                <w:sz w:val="16"/>
                <w:lang w:val="en-US"/>
              </w:rPr>
            </w:pPr>
            <w:r w:rsidRPr="008441F8">
              <w:rPr>
                <w:b/>
                <w:sz w:val="16"/>
                <w:lang w:val="en-US"/>
              </w:rPr>
              <w:t>Tn7-site</w:t>
            </w:r>
          </w:p>
        </w:tc>
        <w:tc>
          <w:tcPr>
            <w:tcW w:w="992" w:type="dxa"/>
            <w:vAlign w:val="center"/>
          </w:tcPr>
          <w:p w14:paraId="7D77AC20" w14:textId="77777777" w:rsidR="00AE654E" w:rsidRPr="008441F8" w:rsidRDefault="00AE654E" w:rsidP="000165F5">
            <w:pPr>
              <w:jc w:val="center"/>
              <w:rPr>
                <w:b/>
                <w:sz w:val="16"/>
                <w:lang w:val="en-US"/>
              </w:rPr>
            </w:pPr>
            <w:r w:rsidRPr="008441F8">
              <w:rPr>
                <w:b/>
                <w:sz w:val="16"/>
                <w:lang w:val="en-US"/>
              </w:rPr>
              <w:t>Substrate</w:t>
            </w:r>
          </w:p>
        </w:tc>
        <w:tc>
          <w:tcPr>
            <w:tcW w:w="1985" w:type="dxa"/>
            <w:vAlign w:val="center"/>
          </w:tcPr>
          <w:p w14:paraId="73133DB6" w14:textId="77777777" w:rsidR="00AE654E" w:rsidRPr="008441F8" w:rsidRDefault="00AE654E" w:rsidP="000165F5">
            <w:pPr>
              <w:jc w:val="center"/>
              <w:rPr>
                <w:b/>
                <w:sz w:val="16"/>
                <w:lang w:val="en-US"/>
              </w:rPr>
            </w:pPr>
            <w:r w:rsidRPr="008441F8">
              <w:rPr>
                <w:b/>
                <w:sz w:val="16"/>
                <w:lang w:val="en-US"/>
              </w:rPr>
              <w:t>Supplemented precursor</w:t>
            </w:r>
          </w:p>
        </w:tc>
        <w:tc>
          <w:tcPr>
            <w:tcW w:w="850" w:type="dxa"/>
            <w:vAlign w:val="center"/>
          </w:tcPr>
          <w:p w14:paraId="44335326" w14:textId="77777777" w:rsidR="00AE654E" w:rsidRPr="008441F8" w:rsidRDefault="00AE654E" w:rsidP="000165F5">
            <w:pPr>
              <w:jc w:val="center"/>
              <w:rPr>
                <w:b/>
                <w:sz w:val="16"/>
                <w:lang w:val="en-US"/>
              </w:rPr>
            </w:pPr>
            <w:r w:rsidRPr="008441F8">
              <w:rPr>
                <w:b/>
                <w:sz w:val="16"/>
                <w:lang w:val="en-US"/>
              </w:rPr>
              <w:t>Initial OD</w:t>
            </w:r>
          </w:p>
        </w:tc>
        <w:tc>
          <w:tcPr>
            <w:tcW w:w="709" w:type="dxa"/>
            <w:vAlign w:val="center"/>
          </w:tcPr>
          <w:p w14:paraId="00099F2B" w14:textId="77777777" w:rsidR="00AE654E" w:rsidRPr="008441F8" w:rsidRDefault="00AE654E" w:rsidP="000165F5">
            <w:pPr>
              <w:jc w:val="center"/>
              <w:rPr>
                <w:b/>
                <w:sz w:val="16"/>
                <w:lang w:val="en-US"/>
              </w:rPr>
            </w:pPr>
            <w:r w:rsidRPr="008441F8">
              <w:rPr>
                <w:b/>
                <w:sz w:val="16"/>
                <w:lang w:val="en-US"/>
              </w:rPr>
              <w:t>OD</w:t>
            </w:r>
          </w:p>
        </w:tc>
        <w:tc>
          <w:tcPr>
            <w:tcW w:w="2126" w:type="dxa"/>
            <w:vAlign w:val="center"/>
          </w:tcPr>
          <w:p w14:paraId="0C2BD73E" w14:textId="77777777" w:rsidR="00AE654E" w:rsidRPr="008441F8" w:rsidRDefault="00AE654E" w:rsidP="000165F5">
            <w:pPr>
              <w:jc w:val="center"/>
              <w:rPr>
                <w:b/>
                <w:sz w:val="16"/>
                <w:lang w:val="en-US"/>
              </w:rPr>
            </w:pPr>
            <w:r w:rsidRPr="008441F8">
              <w:rPr>
                <w:b/>
                <w:sz w:val="16"/>
                <w:lang w:val="en-US"/>
              </w:rPr>
              <w:t>Remaining phenylpropanoid precursor</w:t>
            </w:r>
          </w:p>
        </w:tc>
        <w:tc>
          <w:tcPr>
            <w:tcW w:w="2268" w:type="dxa"/>
            <w:vAlign w:val="center"/>
          </w:tcPr>
          <w:p w14:paraId="08ED15DB" w14:textId="77777777" w:rsidR="00AE654E" w:rsidRPr="00B97427" w:rsidRDefault="00AE654E" w:rsidP="000165F5">
            <w:pPr>
              <w:jc w:val="center"/>
              <w:rPr>
                <w:b/>
                <w:sz w:val="16"/>
              </w:rPr>
            </w:pPr>
            <w:r w:rsidRPr="00B97427">
              <w:rPr>
                <w:b/>
                <w:sz w:val="16"/>
              </w:rPr>
              <w:t>Titer [mg L</w:t>
            </w:r>
            <w:r w:rsidRPr="00B97427">
              <w:rPr>
                <w:b/>
                <w:sz w:val="16"/>
                <w:vertAlign w:val="superscript"/>
              </w:rPr>
              <w:t>-1</w:t>
            </w:r>
            <w:r w:rsidRPr="00B97427">
              <w:rPr>
                <w:b/>
                <w:sz w:val="16"/>
              </w:rPr>
              <w:t>]</w:t>
            </w:r>
          </w:p>
          <w:p w14:paraId="0A6C39C3" w14:textId="77777777" w:rsidR="00AE654E" w:rsidRPr="00B97427" w:rsidRDefault="00AE654E" w:rsidP="000165F5">
            <w:pPr>
              <w:jc w:val="center"/>
              <w:rPr>
                <w:b/>
                <w:sz w:val="16"/>
              </w:rPr>
            </w:pPr>
            <w:r w:rsidRPr="00B97427">
              <w:rPr>
                <w:b/>
                <w:sz w:val="16"/>
              </w:rPr>
              <w:t>Stilbene / phenylpropanoid</w:t>
            </w:r>
          </w:p>
        </w:tc>
        <w:tc>
          <w:tcPr>
            <w:tcW w:w="1701" w:type="dxa"/>
            <w:vAlign w:val="center"/>
          </w:tcPr>
          <w:p w14:paraId="74F0AEE5" w14:textId="77777777" w:rsidR="00AE654E" w:rsidRPr="008441F8" w:rsidRDefault="00AE654E" w:rsidP="000165F5">
            <w:pPr>
              <w:jc w:val="center"/>
              <w:rPr>
                <w:b/>
                <w:sz w:val="16"/>
                <w:lang w:val="en-US"/>
              </w:rPr>
            </w:pPr>
            <w:r w:rsidRPr="008441F8">
              <w:rPr>
                <w:b/>
                <w:sz w:val="16"/>
                <w:lang w:val="en-US"/>
              </w:rPr>
              <w:t>comment</w:t>
            </w:r>
          </w:p>
        </w:tc>
      </w:tr>
      <w:tr w:rsidR="00AE654E" w:rsidRPr="008441F8" w14:paraId="49DCEA8A" w14:textId="77777777" w:rsidTr="005B7F65">
        <w:trPr>
          <w:trHeight w:val="288"/>
        </w:trPr>
        <w:tc>
          <w:tcPr>
            <w:tcW w:w="2122" w:type="dxa"/>
            <w:vAlign w:val="center"/>
          </w:tcPr>
          <w:p w14:paraId="51A57B36"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w:t>
            </w:r>
          </w:p>
        </w:tc>
        <w:tc>
          <w:tcPr>
            <w:tcW w:w="1559" w:type="dxa"/>
            <w:vMerge w:val="restart"/>
            <w:vAlign w:val="center"/>
          </w:tcPr>
          <w:p w14:paraId="54749AD6" w14:textId="77777777" w:rsidR="00AE654E" w:rsidRPr="008441F8" w:rsidRDefault="00AE654E" w:rsidP="000165F5">
            <w:pPr>
              <w:jc w:val="center"/>
              <w:rPr>
                <w:i/>
                <w:sz w:val="16"/>
                <w:lang w:val="en-US"/>
              </w:rPr>
            </w:pPr>
            <w:r w:rsidRPr="008441F8">
              <w:rPr>
                <w:i/>
                <w:sz w:val="16"/>
                <w:lang w:val="en-US"/>
              </w:rPr>
              <w:t>P</w:t>
            </w:r>
            <w:r w:rsidRPr="008441F8">
              <w:rPr>
                <w:i/>
                <w:sz w:val="16"/>
                <w:vertAlign w:val="subscript"/>
                <w:lang w:val="en-US"/>
              </w:rPr>
              <w:t>14g</w:t>
            </w:r>
            <w:r w:rsidRPr="008441F8">
              <w:rPr>
                <w:i/>
                <w:sz w:val="16"/>
                <w:lang w:val="en-US"/>
              </w:rPr>
              <w:t>-his.AhSTS-Sc4CL</w:t>
            </w:r>
            <w:r w:rsidRPr="008441F8">
              <w:rPr>
                <w:rFonts w:cstheme="minorHAnsi"/>
                <w:i/>
                <w:color w:val="000000" w:themeColor="text1"/>
                <w:sz w:val="18"/>
                <w:szCs w:val="18"/>
                <w:vertAlign w:val="superscript"/>
                <w:lang w:val="en-US"/>
              </w:rPr>
              <w:t>A294G</w:t>
            </w:r>
            <w:r w:rsidRPr="008441F8">
              <w:rPr>
                <w:i/>
                <w:sz w:val="16"/>
                <w:lang w:val="en-US"/>
              </w:rPr>
              <w:t>-AtPAL2</w:t>
            </w:r>
          </w:p>
        </w:tc>
        <w:tc>
          <w:tcPr>
            <w:tcW w:w="992" w:type="dxa"/>
            <w:vAlign w:val="center"/>
          </w:tcPr>
          <w:p w14:paraId="1864E3E1" w14:textId="77777777" w:rsidR="00AE654E" w:rsidRPr="008441F8" w:rsidRDefault="00AE654E" w:rsidP="000165F5">
            <w:pPr>
              <w:jc w:val="center"/>
              <w:rPr>
                <w:sz w:val="16"/>
                <w:lang w:val="en-US"/>
              </w:rPr>
            </w:pPr>
            <w:r w:rsidRPr="008441F8">
              <w:rPr>
                <w:sz w:val="16"/>
                <w:lang w:val="en-US"/>
              </w:rPr>
              <w:t>30 mM glc</w:t>
            </w:r>
          </w:p>
        </w:tc>
        <w:tc>
          <w:tcPr>
            <w:tcW w:w="1985" w:type="dxa"/>
            <w:vAlign w:val="center"/>
          </w:tcPr>
          <w:p w14:paraId="7186E3EF" w14:textId="77777777" w:rsidR="00AE654E" w:rsidRPr="008441F8" w:rsidRDefault="00AE654E" w:rsidP="000165F5">
            <w:pPr>
              <w:jc w:val="center"/>
              <w:rPr>
                <w:sz w:val="16"/>
                <w:lang w:val="en-US"/>
              </w:rPr>
            </w:pPr>
            <w:r w:rsidRPr="008441F8">
              <w:rPr>
                <w:sz w:val="16"/>
                <w:lang w:val="en-US"/>
              </w:rPr>
              <w:t>2 mM cinnamate</w:t>
            </w:r>
          </w:p>
        </w:tc>
        <w:tc>
          <w:tcPr>
            <w:tcW w:w="850" w:type="dxa"/>
            <w:vAlign w:val="center"/>
          </w:tcPr>
          <w:p w14:paraId="5EE346AD" w14:textId="77777777" w:rsidR="00AE654E" w:rsidRPr="008441F8" w:rsidRDefault="00AE654E" w:rsidP="000165F5">
            <w:pPr>
              <w:jc w:val="center"/>
              <w:rPr>
                <w:sz w:val="16"/>
                <w:lang w:val="en-US"/>
              </w:rPr>
            </w:pPr>
            <w:r w:rsidRPr="008441F8">
              <w:rPr>
                <w:sz w:val="16"/>
                <w:lang w:val="en-US"/>
              </w:rPr>
              <w:t>0.2</w:t>
            </w:r>
          </w:p>
        </w:tc>
        <w:tc>
          <w:tcPr>
            <w:tcW w:w="709" w:type="dxa"/>
            <w:vAlign w:val="center"/>
          </w:tcPr>
          <w:p w14:paraId="501B489E" w14:textId="77777777" w:rsidR="00AE654E" w:rsidRPr="008441F8" w:rsidRDefault="00AE654E" w:rsidP="000165F5">
            <w:pPr>
              <w:jc w:val="center"/>
              <w:rPr>
                <w:sz w:val="16"/>
                <w:lang w:val="en-US"/>
              </w:rPr>
            </w:pPr>
            <w:r w:rsidRPr="008441F8">
              <w:rPr>
                <w:sz w:val="16"/>
                <w:lang w:val="en-US"/>
              </w:rPr>
              <w:t>4.1</w:t>
            </w:r>
          </w:p>
        </w:tc>
        <w:tc>
          <w:tcPr>
            <w:tcW w:w="2126" w:type="dxa"/>
            <w:vAlign w:val="center"/>
          </w:tcPr>
          <w:p w14:paraId="41BDB335" w14:textId="77777777" w:rsidR="00AE654E" w:rsidRPr="008441F8" w:rsidRDefault="00AE654E" w:rsidP="000165F5">
            <w:pPr>
              <w:jc w:val="center"/>
              <w:rPr>
                <w:sz w:val="16"/>
                <w:lang w:val="en-US"/>
              </w:rPr>
            </w:pPr>
            <w:r w:rsidRPr="008441F8">
              <w:rPr>
                <w:sz w:val="16"/>
                <w:lang w:val="en-US"/>
              </w:rPr>
              <w:t>1.38 mM</w:t>
            </w:r>
          </w:p>
        </w:tc>
        <w:tc>
          <w:tcPr>
            <w:tcW w:w="2268" w:type="dxa"/>
            <w:vAlign w:val="center"/>
          </w:tcPr>
          <w:p w14:paraId="2590E1FB" w14:textId="77777777" w:rsidR="00AE654E" w:rsidRPr="008441F8" w:rsidRDefault="00AE654E" w:rsidP="000165F5">
            <w:pPr>
              <w:jc w:val="center"/>
              <w:rPr>
                <w:sz w:val="16"/>
                <w:lang w:val="en-US"/>
              </w:rPr>
            </w:pPr>
            <w:r w:rsidRPr="008441F8">
              <w:rPr>
                <w:sz w:val="16"/>
                <w:lang w:val="en-US"/>
              </w:rPr>
              <w:t xml:space="preserve">9.9 </w:t>
            </w:r>
            <w:r w:rsidRPr="008441F8">
              <w:rPr>
                <w:rFonts w:cstheme="minorHAnsi"/>
                <w:sz w:val="16"/>
                <w:lang w:val="en-US"/>
              </w:rPr>
              <w:t>±</w:t>
            </w:r>
            <w:r w:rsidRPr="008441F8">
              <w:rPr>
                <w:sz w:val="16"/>
                <w:lang w:val="en-US"/>
              </w:rPr>
              <w:t xml:space="preserve"> 0.42 pinosylvin</w:t>
            </w:r>
          </w:p>
        </w:tc>
        <w:tc>
          <w:tcPr>
            <w:tcW w:w="1701" w:type="dxa"/>
            <w:vAlign w:val="center"/>
          </w:tcPr>
          <w:p w14:paraId="423A18F9" w14:textId="77777777" w:rsidR="00AE654E" w:rsidRPr="008441F8" w:rsidRDefault="00AE654E" w:rsidP="000165F5">
            <w:pPr>
              <w:jc w:val="center"/>
              <w:rPr>
                <w:sz w:val="16"/>
                <w:lang w:val="en-US"/>
              </w:rPr>
            </w:pPr>
          </w:p>
        </w:tc>
      </w:tr>
      <w:tr w:rsidR="00AE654E" w:rsidRPr="008441F8" w14:paraId="5C3A7EAF" w14:textId="77777777" w:rsidTr="005B7F65">
        <w:trPr>
          <w:trHeight w:val="205"/>
        </w:trPr>
        <w:tc>
          <w:tcPr>
            <w:tcW w:w="2122" w:type="dxa"/>
            <w:vAlign w:val="center"/>
          </w:tcPr>
          <w:p w14:paraId="3B1E810E"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w:t>
            </w:r>
          </w:p>
        </w:tc>
        <w:tc>
          <w:tcPr>
            <w:tcW w:w="1559" w:type="dxa"/>
            <w:vMerge/>
            <w:vAlign w:val="center"/>
          </w:tcPr>
          <w:p w14:paraId="1C49D685" w14:textId="77777777" w:rsidR="00AE654E" w:rsidRPr="008441F8" w:rsidRDefault="00AE654E" w:rsidP="000165F5">
            <w:pPr>
              <w:jc w:val="center"/>
              <w:rPr>
                <w:sz w:val="16"/>
                <w:lang w:val="en-US"/>
              </w:rPr>
            </w:pPr>
          </w:p>
        </w:tc>
        <w:tc>
          <w:tcPr>
            <w:tcW w:w="992" w:type="dxa"/>
            <w:vAlign w:val="center"/>
          </w:tcPr>
          <w:p w14:paraId="57B77D63" w14:textId="77777777" w:rsidR="00AE654E" w:rsidRPr="008441F8" w:rsidRDefault="00AE654E" w:rsidP="000165F5">
            <w:pPr>
              <w:jc w:val="center"/>
              <w:rPr>
                <w:sz w:val="16"/>
                <w:lang w:val="en-US"/>
              </w:rPr>
            </w:pPr>
            <w:r w:rsidRPr="008441F8">
              <w:rPr>
                <w:sz w:val="16"/>
                <w:lang w:val="en-US"/>
              </w:rPr>
              <w:t>30 mM glc</w:t>
            </w:r>
          </w:p>
        </w:tc>
        <w:tc>
          <w:tcPr>
            <w:tcW w:w="1985" w:type="dxa"/>
            <w:vAlign w:val="center"/>
          </w:tcPr>
          <w:p w14:paraId="35522D56" w14:textId="77777777" w:rsidR="00AE654E" w:rsidRPr="008441F8" w:rsidRDefault="00AE654E" w:rsidP="000165F5">
            <w:pPr>
              <w:jc w:val="center"/>
              <w:rPr>
                <w:sz w:val="16"/>
                <w:lang w:val="en-US"/>
              </w:rPr>
            </w:pPr>
            <w:r w:rsidRPr="008441F8">
              <w:rPr>
                <w:sz w:val="16"/>
                <w:lang w:val="en-US"/>
              </w:rPr>
              <w:t>2 mM cinnamate</w:t>
            </w:r>
          </w:p>
        </w:tc>
        <w:tc>
          <w:tcPr>
            <w:tcW w:w="850" w:type="dxa"/>
            <w:vAlign w:val="center"/>
          </w:tcPr>
          <w:p w14:paraId="2CA20513" w14:textId="77777777" w:rsidR="00AE654E" w:rsidRPr="008441F8" w:rsidRDefault="00AE654E" w:rsidP="000165F5">
            <w:pPr>
              <w:jc w:val="center"/>
              <w:rPr>
                <w:sz w:val="16"/>
                <w:lang w:val="en-US"/>
              </w:rPr>
            </w:pPr>
            <w:r w:rsidRPr="008441F8">
              <w:rPr>
                <w:sz w:val="16"/>
                <w:lang w:val="en-US"/>
              </w:rPr>
              <w:t>0.2</w:t>
            </w:r>
          </w:p>
        </w:tc>
        <w:tc>
          <w:tcPr>
            <w:tcW w:w="709" w:type="dxa"/>
            <w:vAlign w:val="center"/>
          </w:tcPr>
          <w:p w14:paraId="5EA972A8" w14:textId="77777777" w:rsidR="00AE654E" w:rsidRPr="008441F8" w:rsidRDefault="00AE654E" w:rsidP="000165F5">
            <w:pPr>
              <w:jc w:val="center"/>
              <w:rPr>
                <w:sz w:val="16"/>
                <w:lang w:val="en-US"/>
              </w:rPr>
            </w:pPr>
            <w:r w:rsidRPr="008441F8">
              <w:rPr>
                <w:sz w:val="16"/>
                <w:lang w:val="en-US"/>
              </w:rPr>
              <w:t>3.93</w:t>
            </w:r>
          </w:p>
        </w:tc>
        <w:tc>
          <w:tcPr>
            <w:tcW w:w="2126" w:type="dxa"/>
            <w:vAlign w:val="center"/>
          </w:tcPr>
          <w:p w14:paraId="25A07F2F" w14:textId="77777777" w:rsidR="00AE654E" w:rsidRPr="008441F8" w:rsidRDefault="00AE654E" w:rsidP="000165F5">
            <w:pPr>
              <w:jc w:val="center"/>
              <w:rPr>
                <w:sz w:val="16"/>
                <w:lang w:val="en-US"/>
              </w:rPr>
            </w:pPr>
            <w:r w:rsidRPr="008441F8">
              <w:rPr>
                <w:sz w:val="16"/>
                <w:lang w:val="en-US"/>
              </w:rPr>
              <w:t>1.49 mM</w:t>
            </w:r>
          </w:p>
        </w:tc>
        <w:tc>
          <w:tcPr>
            <w:tcW w:w="2268" w:type="dxa"/>
            <w:vAlign w:val="center"/>
          </w:tcPr>
          <w:p w14:paraId="193BF3FC" w14:textId="77777777" w:rsidR="00AE654E" w:rsidRPr="008441F8" w:rsidRDefault="00AE654E" w:rsidP="000165F5">
            <w:pPr>
              <w:jc w:val="center"/>
              <w:rPr>
                <w:sz w:val="16"/>
                <w:lang w:val="en-US"/>
              </w:rPr>
            </w:pPr>
            <w:r w:rsidRPr="008441F8">
              <w:rPr>
                <w:sz w:val="16"/>
                <w:lang w:val="en-US"/>
              </w:rPr>
              <w:t xml:space="preserve">1.4 </w:t>
            </w:r>
            <w:r w:rsidRPr="008441F8">
              <w:rPr>
                <w:rFonts w:cstheme="minorHAnsi"/>
                <w:sz w:val="16"/>
                <w:lang w:val="en-US"/>
              </w:rPr>
              <w:t>±</w:t>
            </w:r>
            <w:r w:rsidRPr="008441F8">
              <w:rPr>
                <w:sz w:val="16"/>
                <w:lang w:val="en-US"/>
              </w:rPr>
              <w:t xml:space="preserve"> 0.7 pinosylvin</w:t>
            </w:r>
          </w:p>
        </w:tc>
        <w:tc>
          <w:tcPr>
            <w:tcW w:w="1701" w:type="dxa"/>
            <w:vAlign w:val="center"/>
          </w:tcPr>
          <w:p w14:paraId="2C0BD015" w14:textId="77777777" w:rsidR="00AE654E" w:rsidRPr="008441F8" w:rsidRDefault="00AE654E" w:rsidP="000165F5">
            <w:pPr>
              <w:jc w:val="center"/>
              <w:rPr>
                <w:sz w:val="16"/>
                <w:lang w:val="en-US"/>
              </w:rPr>
            </w:pPr>
          </w:p>
        </w:tc>
      </w:tr>
      <w:tr w:rsidR="00AE654E" w:rsidRPr="008441F8" w14:paraId="5336905E" w14:textId="77777777" w:rsidTr="005B7F65">
        <w:trPr>
          <w:trHeight w:val="205"/>
        </w:trPr>
        <w:tc>
          <w:tcPr>
            <w:tcW w:w="2122" w:type="dxa"/>
            <w:shd w:val="clear" w:color="auto" w:fill="auto"/>
            <w:vAlign w:val="center"/>
          </w:tcPr>
          <w:p w14:paraId="4B1ADD3C"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II</w:t>
            </w:r>
          </w:p>
        </w:tc>
        <w:tc>
          <w:tcPr>
            <w:tcW w:w="1559" w:type="dxa"/>
            <w:vMerge/>
            <w:shd w:val="clear" w:color="auto" w:fill="auto"/>
            <w:vAlign w:val="center"/>
          </w:tcPr>
          <w:p w14:paraId="60A62295" w14:textId="77777777" w:rsidR="00AE654E" w:rsidRPr="008441F8" w:rsidRDefault="00AE654E" w:rsidP="000165F5">
            <w:pPr>
              <w:jc w:val="center"/>
              <w:rPr>
                <w:sz w:val="16"/>
                <w:lang w:val="en-US"/>
              </w:rPr>
            </w:pPr>
          </w:p>
        </w:tc>
        <w:tc>
          <w:tcPr>
            <w:tcW w:w="992" w:type="dxa"/>
            <w:shd w:val="clear" w:color="auto" w:fill="auto"/>
            <w:vAlign w:val="center"/>
          </w:tcPr>
          <w:p w14:paraId="60899B86"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1A204504" w14:textId="77777777" w:rsidR="00AE654E" w:rsidRPr="008441F8" w:rsidRDefault="00AE654E" w:rsidP="000165F5">
            <w:pPr>
              <w:jc w:val="center"/>
              <w:rPr>
                <w:sz w:val="16"/>
                <w:lang w:val="en-US"/>
              </w:rPr>
            </w:pPr>
            <w:r w:rsidRPr="008441F8">
              <w:rPr>
                <w:sz w:val="16"/>
                <w:lang w:val="en-US"/>
              </w:rPr>
              <w:t>none</w:t>
            </w:r>
          </w:p>
        </w:tc>
        <w:tc>
          <w:tcPr>
            <w:tcW w:w="850" w:type="dxa"/>
            <w:shd w:val="clear" w:color="auto" w:fill="auto"/>
            <w:vAlign w:val="center"/>
          </w:tcPr>
          <w:p w14:paraId="63045C0E" w14:textId="77777777" w:rsidR="00AE654E" w:rsidRPr="008441F8" w:rsidRDefault="00AE654E" w:rsidP="000165F5">
            <w:pPr>
              <w:jc w:val="center"/>
              <w:rPr>
                <w:sz w:val="16"/>
                <w:lang w:val="en-US"/>
              </w:rPr>
            </w:pPr>
            <w:r w:rsidRPr="008441F8">
              <w:rPr>
                <w:sz w:val="16"/>
                <w:lang w:val="en-US"/>
              </w:rPr>
              <w:t>0.2</w:t>
            </w:r>
          </w:p>
        </w:tc>
        <w:tc>
          <w:tcPr>
            <w:tcW w:w="709" w:type="dxa"/>
            <w:shd w:val="clear" w:color="auto" w:fill="auto"/>
            <w:vAlign w:val="center"/>
          </w:tcPr>
          <w:p w14:paraId="394C685E" w14:textId="77777777" w:rsidR="00AE654E" w:rsidRPr="008441F8" w:rsidRDefault="00AE654E" w:rsidP="000165F5">
            <w:pPr>
              <w:jc w:val="center"/>
              <w:rPr>
                <w:sz w:val="16"/>
                <w:lang w:val="en-US"/>
              </w:rPr>
            </w:pPr>
            <w:r w:rsidRPr="008441F8">
              <w:rPr>
                <w:sz w:val="16"/>
                <w:lang w:val="en-US"/>
              </w:rPr>
              <w:t>4.2</w:t>
            </w:r>
          </w:p>
        </w:tc>
        <w:tc>
          <w:tcPr>
            <w:tcW w:w="2126" w:type="dxa"/>
            <w:shd w:val="clear" w:color="auto" w:fill="auto"/>
            <w:vAlign w:val="center"/>
          </w:tcPr>
          <w:p w14:paraId="434CAB79" w14:textId="77777777" w:rsidR="00AE654E" w:rsidRPr="008441F8" w:rsidRDefault="00AE654E" w:rsidP="000165F5">
            <w:pPr>
              <w:jc w:val="center"/>
              <w:rPr>
                <w:sz w:val="16"/>
                <w:lang w:val="en-US"/>
              </w:rPr>
            </w:pPr>
          </w:p>
        </w:tc>
        <w:tc>
          <w:tcPr>
            <w:tcW w:w="2268" w:type="dxa"/>
            <w:shd w:val="clear" w:color="auto" w:fill="auto"/>
            <w:vAlign w:val="center"/>
          </w:tcPr>
          <w:p w14:paraId="6F5B2C2D" w14:textId="77777777" w:rsidR="00AE654E" w:rsidRPr="008441F8" w:rsidRDefault="00AE654E" w:rsidP="000165F5">
            <w:pPr>
              <w:jc w:val="center"/>
              <w:rPr>
                <w:sz w:val="16"/>
                <w:lang w:val="en-US"/>
              </w:rPr>
            </w:pPr>
            <w:r w:rsidRPr="008441F8">
              <w:rPr>
                <w:sz w:val="16"/>
                <w:lang w:val="en-US"/>
              </w:rPr>
              <w:t xml:space="preserve">9.3 </w:t>
            </w:r>
            <w:r w:rsidRPr="008441F8">
              <w:rPr>
                <w:rFonts w:cstheme="minorHAnsi"/>
                <w:sz w:val="16"/>
                <w:lang w:val="en-US"/>
              </w:rPr>
              <w:t>±</w:t>
            </w:r>
            <w:r w:rsidRPr="008441F8">
              <w:rPr>
                <w:sz w:val="16"/>
                <w:lang w:val="en-US"/>
              </w:rPr>
              <w:t xml:space="preserve"> 0.13 pinosylvin</w:t>
            </w:r>
          </w:p>
          <w:p w14:paraId="17BAB7C8" w14:textId="77777777" w:rsidR="00AE654E" w:rsidRPr="008441F8" w:rsidRDefault="00AE654E" w:rsidP="000165F5">
            <w:pPr>
              <w:jc w:val="center"/>
              <w:rPr>
                <w:sz w:val="16"/>
                <w:lang w:val="en-US"/>
              </w:rPr>
            </w:pPr>
            <w:r w:rsidRPr="008441F8">
              <w:rPr>
                <w:sz w:val="16"/>
                <w:lang w:val="en-US"/>
              </w:rPr>
              <w:t xml:space="preserve">0.01 mM </w:t>
            </w:r>
            <w:r w:rsidRPr="008441F8">
              <w:rPr>
                <w:i/>
                <w:sz w:val="16"/>
                <w:lang w:val="en-US"/>
              </w:rPr>
              <w:t>t</w:t>
            </w:r>
            <w:r w:rsidRPr="008441F8">
              <w:rPr>
                <w:sz w:val="16"/>
                <w:lang w:val="en-US"/>
              </w:rPr>
              <w:noBreakHyphen/>
              <w:t>cinnamate</w:t>
            </w:r>
          </w:p>
        </w:tc>
        <w:tc>
          <w:tcPr>
            <w:tcW w:w="1701" w:type="dxa"/>
            <w:shd w:val="clear" w:color="auto" w:fill="auto"/>
            <w:vAlign w:val="center"/>
          </w:tcPr>
          <w:p w14:paraId="712929D4" w14:textId="77777777" w:rsidR="00AE654E" w:rsidRPr="008441F8" w:rsidRDefault="00AE654E" w:rsidP="000165F5">
            <w:pPr>
              <w:jc w:val="center"/>
              <w:rPr>
                <w:sz w:val="16"/>
                <w:lang w:val="en-US"/>
              </w:rPr>
            </w:pPr>
          </w:p>
        </w:tc>
      </w:tr>
      <w:tr w:rsidR="00AE654E" w:rsidRPr="008441F8" w14:paraId="731D2F58" w14:textId="77777777" w:rsidTr="005B7F65">
        <w:trPr>
          <w:trHeight w:val="205"/>
        </w:trPr>
        <w:tc>
          <w:tcPr>
            <w:tcW w:w="2122" w:type="dxa"/>
            <w:vMerge w:val="restart"/>
            <w:shd w:val="clear" w:color="auto" w:fill="auto"/>
            <w:vAlign w:val="center"/>
          </w:tcPr>
          <w:p w14:paraId="6F4D44C8"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II</w:t>
            </w:r>
          </w:p>
        </w:tc>
        <w:tc>
          <w:tcPr>
            <w:tcW w:w="1559" w:type="dxa"/>
            <w:vMerge/>
            <w:shd w:val="clear" w:color="auto" w:fill="auto"/>
            <w:vAlign w:val="center"/>
          </w:tcPr>
          <w:p w14:paraId="0254964F" w14:textId="77777777" w:rsidR="00AE654E" w:rsidRPr="008441F8" w:rsidRDefault="00AE654E" w:rsidP="000165F5">
            <w:pPr>
              <w:jc w:val="center"/>
              <w:rPr>
                <w:sz w:val="16"/>
                <w:lang w:val="en-US"/>
              </w:rPr>
            </w:pPr>
          </w:p>
        </w:tc>
        <w:tc>
          <w:tcPr>
            <w:tcW w:w="992" w:type="dxa"/>
            <w:vMerge w:val="restart"/>
            <w:shd w:val="clear" w:color="auto" w:fill="auto"/>
            <w:vAlign w:val="center"/>
          </w:tcPr>
          <w:p w14:paraId="02170CAD"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494DF043" w14:textId="77777777" w:rsidR="00AE654E" w:rsidRPr="008441F8" w:rsidRDefault="00AE654E" w:rsidP="000165F5">
            <w:pPr>
              <w:jc w:val="center"/>
              <w:rPr>
                <w:sz w:val="16"/>
                <w:lang w:val="en-US"/>
              </w:rPr>
            </w:pPr>
            <w:r w:rsidRPr="008441F8">
              <w:rPr>
                <w:sz w:val="16"/>
                <w:lang w:val="en-US"/>
              </w:rPr>
              <w:t>2 mM cinnamate</w:t>
            </w:r>
          </w:p>
        </w:tc>
        <w:tc>
          <w:tcPr>
            <w:tcW w:w="850" w:type="dxa"/>
            <w:shd w:val="clear" w:color="auto" w:fill="auto"/>
            <w:vAlign w:val="center"/>
          </w:tcPr>
          <w:p w14:paraId="4E0719A5" w14:textId="77777777" w:rsidR="00AE654E" w:rsidRPr="008441F8" w:rsidRDefault="00AE654E" w:rsidP="000165F5">
            <w:pPr>
              <w:jc w:val="center"/>
              <w:rPr>
                <w:sz w:val="16"/>
                <w:lang w:val="en-US"/>
              </w:rPr>
            </w:pPr>
            <w:r w:rsidRPr="008441F8">
              <w:rPr>
                <w:sz w:val="16"/>
                <w:lang w:val="en-US"/>
              </w:rPr>
              <w:t>0.2</w:t>
            </w:r>
          </w:p>
        </w:tc>
        <w:tc>
          <w:tcPr>
            <w:tcW w:w="709" w:type="dxa"/>
            <w:shd w:val="clear" w:color="auto" w:fill="auto"/>
            <w:vAlign w:val="center"/>
          </w:tcPr>
          <w:p w14:paraId="016FA2F1" w14:textId="77777777" w:rsidR="00AE654E" w:rsidRPr="008441F8" w:rsidRDefault="00AE654E" w:rsidP="000165F5">
            <w:pPr>
              <w:jc w:val="center"/>
              <w:rPr>
                <w:sz w:val="16"/>
                <w:lang w:val="en-US"/>
              </w:rPr>
            </w:pPr>
            <w:r w:rsidRPr="008441F8">
              <w:rPr>
                <w:sz w:val="16"/>
                <w:lang w:val="en-US"/>
              </w:rPr>
              <w:t>4.1</w:t>
            </w:r>
          </w:p>
        </w:tc>
        <w:tc>
          <w:tcPr>
            <w:tcW w:w="2126" w:type="dxa"/>
            <w:shd w:val="clear" w:color="auto" w:fill="auto"/>
            <w:vAlign w:val="center"/>
          </w:tcPr>
          <w:p w14:paraId="32CA9C6B" w14:textId="77777777" w:rsidR="00AE654E" w:rsidRPr="008441F8" w:rsidRDefault="00AE654E" w:rsidP="000165F5">
            <w:pPr>
              <w:jc w:val="center"/>
              <w:rPr>
                <w:sz w:val="16"/>
                <w:lang w:val="en-US"/>
              </w:rPr>
            </w:pPr>
            <w:r w:rsidRPr="008441F8">
              <w:rPr>
                <w:sz w:val="16"/>
                <w:lang w:val="en-US"/>
              </w:rPr>
              <w:t>1.65 mM</w:t>
            </w:r>
          </w:p>
        </w:tc>
        <w:tc>
          <w:tcPr>
            <w:tcW w:w="2268" w:type="dxa"/>
            <w:shd w:val="clear" w:color="auto" w:fill="auto"/>
            <w:vAlign w:val="center"/>
          </w:tcPr>
          <w:p w14:paraId="21DF7670" w14:textId="77777777" w:rsidR="00AE654E" w:rsidRPr="008441F8" w:rsidRDefault="00AE654E" w:rsidP="000165F5">
            <w:pPr>
              <w:jc w:val="center"/>
              <w:rPr>
                <w:sz w:val="16"/>
                <w:lang w:val="en-US"/>
              </w:rPr>
            </w:pPr>
            <w:r w:rsidRPr="008441F8">
              <w:rPr>
                <w:sz w:val="16"/>
                <w:lang w:val="en-US"/>
              </w:rPr>
              <w:t xml:space="preserve">8.5 </w:t>
            </w:r>
            <w:r w:rsidRPr="008441F8">
              <w:rPr>
                <w:rFonts w:cstheme="minorHAnsi"/>
                <w:sz w:val="16"/>
                <w:lang w:val="en-US"/>
              </w:rPr>
              <w:t>±</w:t>
            </w:r>
            <w:r w:rsidRPr="008441F8">
              <w:rPr>
                <w:sz w:val="16"/>
                <w:lang w:val="en-US"/>
              </w:rPr>
              <w:t xml:space="preserve"> 0.9 pinosylvin</w:t>
            </w:r>
          </w:p>
        </w:tc>
        <w:tc>
          <w:tcPr>
            <w:tcW w:w="1701" w:type="dxa"/>
            <w:shd w:val="clear" w:color="auto" w:fill="auto"/>
            <w:vAlign w:val="center"/>
          </w:tcPr>
          <w:p w14:paraId="14CF6332" w14:textId="77777777" w:rsidR="00AE654E" w:rsidRPr="008441F8" w:rsidRDefault="00AE654E" w:rsidP="000165F5">
            <w:pPr>
              <w:jc w:val="center"/>
              <w:rPr>
                <w:sz w:val="16"/>
                <w:lang w:val="en-US"/>
              </w:rPr>
            </w:pPr>
          </w:p>
        </w:tc>
      </w:tr>
      <w:tr w:rsidR="00AE654E" w:rsidRPr="008441F8" w14:paraId="15DE3FB9" w14:textId="77777777" w:rsidTr="005B7F65">
        <w:trPr>
          <w:trHeight w:val="235"/>
        </w:trPr>
        <w:tc>
          <w:tcPr>
            <w:tcW w:w="2122" w:type="dxa"/>
            <w:vMerge/>
            <w:shd w:val="clear" w:color="auto" w:fill="auto"/>
            <w:vAlign w:val="center"/>
          </w:tcPr>
          <w:p w14:paraId="41AE31AD" w14:textId="77777777" w:rsidR="00AE654E" w:rsidRPr="008441F8" w:rsidRDefault="00AE654E" w:rsidP="000165F5">
            <w:pPr>
              <w:jc w:val="center"/>
              <w:rPr>
                <w:sz w:val="16"/>
                <w:lang w:val="en-US"/>
              </w:rPr>
            </w:pPr>
          </w:p>
        </w:tc>
        <w:tc>
          <w:tcPr>
            <w:tcW w:w="1559" w:type="dxa"/>
            <w:vMerge/>
            <w:shd w:val="clear" w:color="auto" w:fill="auto"/>
            <w:vAlign w:val="center"/>
          </w:tcPr>
          <w:p w14:paraId="52B48EE4" w14:textId="77777777" w:rsidR="00AE654E" w:rsidRPr="008441F8" w:rsidRDefault="00AE654E" w:rsidP="000165F5">
            <w:pPr>
              <w:jc w:val="center"/>
              <w:rPr>
                <w:sz w:val="16"/>
                <w:lang w:val="en-US"/>
              </w:rPr>
            </w:pPr>
          </w:p>
        </w:tc>
        <w:tc>
          <w:tcPr>
            <w:tcW w:w="992" w:type="dxa"/>
            <w:vMerge/>
            <w:shd w:val="clear" w:color="auto" w:fill="auto"/>
            <w:vAlign w:val="center"/>
          </w:tcPr>
          <w:p w14:paraId="73DAA0E2" w14:textId="77777777" w:rsidR="00AE654E" w:rsidRPr="008441F8" w:rsidRDefault="00AE654E" w:rsidP="000165F5">
            <w:pPr>
              <w:jc w:val="center"/>
              <w:rPr>
                <w:sz w:val="16"/>
                <w:lang w:val="en-US"/>
              </w:rPr>
            </w:pPr>
          </w:p>
        </w:tc>
        <w:tc>
          <w:tcPr>
            <w:tcW w:w="1985" w:type="dxa"/>
            <w:shd w:val="clear" w:color="auto" w:fill="auto"/>
            <w:vAlign w:val="center"/>
          </w:tcPr>
          <w:p w14:paraId="255AF910" w14:textId="77777777" w:rsidR="00AE654E" w:rsidRPr="008441F8" w:rsidRDefault="00AE654E" w:rsidP="000165F5">
            <w:pPr>
              <w:jc w:val="center"/>
              <w:rPr>
                <w:sz w:val="16"/>
                <w:lang w:val="en-US"/>
              </w:rPr>
            </w:pPr>
            <w:r w:rsidRPr="008441F8">
              <w:rPr>
                <w:sz w:val="16"/>
                <w:lang w:val="en-US"/>
              </w:rPr>
              <w:t>2 mM phenylalanine</w:t>
            </w:r>
          </w:p>
        </w:tc>
        <w:tc>
          <w:tcPr>
            <w:tcW w:w="850" w:type="dxa"/>
            <w:shd w:val="clear" w:color="auto" w:fill="auto"/>
            <w:vAlign w:val="center"/>
          </w:tcPr>
          <w:p w14:paraId="2E119123" w14:textId="77777777" w:rsidR="00AE654E" w:rsidRPr="008441F8" w:rsidRDefault="00AE654E" w:rsidP="000165F5">
            <w:pPr>
              <w:jc w:val="center"/>
              <w:rPr>
                <w:sz w:val="16"/>
                <w:lang w:val="en-US"/>
              </w:rPr>
            </w:pPr>
            <w:r w:rsidRPr="008441F8">
              <w:rPr>
                <w:sz w:val="16"/>
                <w:lang w:val="en-US"/>
              </w:rPr>
              <w:t>0.2</w:t>
            </w:r>
          </w:p>
        </w:tc>
        <w:tc>
          <w:tcPr>
            <w:tcW w:w="709" w:type="dxa"/>
            <w:shd w:val="clear" w:color="auto" w:fill="auto"/>
            <w:vAlign w:val="center"/>
          </w:tcPr>
          <w:p w14:paraId="72F9B9A3" w14:textId="77777777" w:rsidR="00AE654E" w:rsidRPr="008441F8" w:rsidRDefault="00AE654E" w:rsidP="000165F5">
            <w:pPr>
              <w:jc w:val="center"/>
              <w:rPr>
                <w:sz w:val="16"/>
                <w:lang w:val="en-US"/>
              </w:rPr>
            </w:pPr>
            <w:r w:rsidRPr="008441F8">
              <w:rPr>
                <w:sz w:val="16"/>
                <w:lang w:val="en-US"/>
              </w:rPr>
              <w:t>3.37</w:t>
            </w:r>
          </w:p>
        </w:tc>
        <w:tc>
          <w:tcPr>
            <w:tcW w:w="2126" w:type="dxa"/>
            <w:shd w:val="clear" w:color="auto" w:fill="auto"/>
            <w:vAlign w:val="center"/>
          </w:tcPr>
          <w:p w14:paraId="71539ED1" w14:textId="77777777" w:rsidR="00AE654E" w:rsidRPr="008441F8" w:rsidRDefault="00AE654E" w:rsidP="000165F5">
            <w:pPr>
              <w:jc w:val="center"/>
              <w:rPr>
                <w:sz w:val="16"/>
                <w:lang w:val="en-US"/>
              </w:rPr>
            </w:pPr>
            <w:r w:rsidRPr="008441F8">
              <w:rPr>
                <w:sz w:val="16"/>
                <w:lang w:val="en-US"/>
              </w:rPr>
              <w:t>1.06 mM</w:t>
            </w:r>
          </w:p>
        </w:tc>
        <w:tc>
          <w:tcPr>
            <w:tcW w:w="2268" w:type="dxa"/>
            <w:shd w:val="clear" w:color="auto" w:fill="auto"/>
            <w:vAlign w:val="center"/>
          </w:tcPr>
          <w:p w14:paraId="3000BAD4" w14:textId="77777777" w:rsidR="00AE654E" w:rsidRPr="008441F8" w:rsidRDefault="00AE654E" w:rsidP="000165F5">
            <w:pPr>
              <w:jc w:val="center"/>
              <w:rPr>
                <w:sz w:val="16"/>
                <w:lang w:val="en-US"/>
              </w:rPr>
            </w:pPr>
            <w:r w:rsidRPr="008441F8">
              <w:rPr>
                <w:sz w:val="16"/>
                <w:lang w:val="en-US"/>
              </w:rPr>
              <w:t xml:space="preserve">7.1 </w:t>
            </w:r>
            <w:r w:rsidRPr="008441F8">
              <w:rPr>
                <w:rFonts w:cstheme="minorHAnsi"/>
                <w:sz w:val="16"/>
                <w:lang w:val="en-US"/>
              </w:rPr>
              <w:t>±</w:t>
            </w:r>
            <w:r w:rsidRPr="008441F8">
              <w:rPr>
                <w:sz w:val="16"/>
                <w:lang w:val="en-US"/>
              </w:rPr>
              <w:t xml:space="preserve"> 0.8 pinosylvin</w:t>
            </w:r>
          </w:p>
        </w:tc>
        <w:tc>
          <w:tcPr>
            <w:tcW w:w="1701" w:type="dxa"/>
            <w:shd w:val="clear" w:color="auto" w:fill="auto"/>
            <w:vAlign w:val="center"/>
          </w:tcPr>
          <w:p w14:paraId="270C1715" w14:textId="77777777" w:rsidR="00AE654E" w:rsidRPr="008441F8" w:rsidRDefault="00AE654E" w:rsidP="000165F5">
            <w:pPr>
              <w:jc w:val="center"/>
              <w:rPr>
                <w:sz w:val="16"/>
                <w:lang w:val="en-US"/>
              </w:rPr>
            </w:pPr>
          </w:p>
        </w:tc>
      </w:tr>
      <w:tr w:rsidR="00AE654E" w:rsidRPr="008441F8" w14:paraId="3FFC063B" w14:textId="77777777" w:rsidTr="005B7F65">
        <w:trPr>
          <w:trHeight w:val="220"/>
        </w:trPr>
        <w:tc>
          <w:tcPr>
            <w:tcW w:w="2122" w:type="dxa"/>
            <w:vMerge/>
            <w:shd w:val="clear" w:color="auto" w:fill="auto"/>
            <w:vAlign w:val="center"/>
          </w:tcPr>
          <w:p w14:paraId="0A3F4D70" w14:textId="77777777" w:rsidR="00AE654E" w:rsidRPr="008441F8" w:rsidRDefault="00AE654E" w:rsidP="000165F5">
            <w:pPr>
              <w:jc w:val="center"/>
              <w:rPr>
                <w:sz w:val="16"/>
                <w:lang w:val="en-US"/>
              </w:rPr>
            </w:pPr>
          </w:p>
        </w:tc>
        <w:tc>
          <w:tcPr>
            <w:tcW w:w="1559" w:type="dxa"/>
            <w:vMerge/>
            <w:shd w:val="clear" w:color="auto" w:fill="auto"/>
            <w:vAlign w:val="center"/>
          </w:tcPr>
          <w:p w14:paraId="398A8220" w14:textId="77777777" w:rsidR="00AE654E" w:rsidRPr="008441F8" w:rsidRDefault="00AE654E" w:rsidP="000165F5">
            <w:pPr>
              <w:jc w:val="center"/>
              <w:rPr>
                <w:sz w:val="16"/>
                <w:lang w:val="en-US"/>
              </w:rPr>
            </w:pPr>
          </w:p>
        </w:tc>
        <w:tc>
          <w:tcPr>
            <w:tcW w:w="992" w:type="dxa"/>
            <w:vMerge w:val="restart"/>
            <w:shd w:val="clear" w:color="auto" w:fill="auto"/>
            <w:vAlign w:val="center"/>
          </w:tcPr>
          <w:p w14:paraId="11AEE78F" w14:textId="77777777" w:rsidR="00AE654E" w:rsidRPr="008441F8" w:rsidRDefault="00AE654E" w:rsidP="000165F5">
            <w:pPr>
              <w:jc w:val="center"/>
              <w:rPr>
                <w:sz w:val="16"/>
                <w:lang w:val="en-US"/>
              </w:rPr>
            </w:pPr>
            <w:r w:rsidRPr="008441F8">
              <w:rPr>
                <w:sz w:val="16"/>
                <w:lang w:val="en-US"/>
              </w:rPr>
              <w:t>60 mM glc</w:t>
            </w:r>
          </w:p>
        </w:tc>
        <w:tc>
          <w:tcPr>
            <w:tcW w:w="1985" w:type="dxa"/>
            <w:shd w:val="clear" w:color="auto" w:fill="auto"/>
            <w:vAlign w:val="center"/>
          </w:tcPr>
          <w:p w14:paraId="7DF61BEF" w14:textId="77777777" w:rsidR="00AE654E" w:rsidRPr="008441F8" w:rsidRDefault="00AE654E" w:rsidP="000165F5">
            <w:pPr>
              <w:jc w:val="center"/>
              <w:rPr>
                <w:sz w:val="16"/>
                <w:lang w:val="en-US"/>
              </w:rPr>
            </w:pPr>
            <w:r w:rsidRPr="008441F8">
              <w:rPr>
                <w:sz w:val="16"/>
                <w:lang w:val="en-US"/>
              </w:rPr>
              <w:t>2 mM cinnamate</w:t>
            </w:r>
          </w:p>
        </w:tc>
        <w:tc>
          <w:tcPr>
            <w:tcW w:w="850" w:type="dxa"/>
            <w:shd w:val="clear" w:color="auto" w:fill="auto"/>
            <w:vAlign w:val="center"/>
          </w:tcPr>
          <w:p w14:paraId="659A887F" w14:textId="77777777" w:rsidR="00AE654E" w:rsidRPr="008441F8" w:rsidRDefault="00AE654E" w:rsidP="000165F5">
            <w:pPr>
              <w:jc w:val="center"/>
              <w:rPr>
                <w:sz w:val="16"/>
                <w:lang w:val="en-US"/>
              </w:rPr>
            </w:pPr>
            <w:r w:rsidRPr="008441F8">
              <w:rPr>
                <w:sz w:val="16"/>
                <w:lang w:val="en-US"/>
              </w:rPr>
              <w:t>0.2</w:t>
            </w:r>
          </w:p>
        </w:tc>
        <w:tc>
          <w:tcPr>
            <w:tcW w:w="709" w:type="dxa"/>
            <w:shd w:val="clear" w:color="auto" w:fill="auto"/>
            <w:vAlign w:val="center"/>
          </w:tcPr>
          <w:p w14:paraId="747366E5" w14:textId="77777777" w:rsidR="00AE654E" w:rsidRPr="008441F8" w:rsidRDefault="00AE654E" w:rsidP="000165F5">
            <w:pPr>
              <w:jc w:val="center"/>
              <w:rPr>
                <w:sz w:val="16"/>
                <w:lang w:val="en-US"/>
              </w:rPr>
            </w:pPr>
            <w:r w:rsidRPr="008441F8">
              <w:rPr>
                <w:sz w:val="16"/>
                <w:lang w:val="en-US"/>
              </w:rPr>
              <w:t>6.23</w:t>
            </w:r>
          </w:p>
        </w:tc>
        <w:tc>
          <w:tcPr>
            <w:tcW w:w="2126" w:type="dxa"/>
            <w:shd w:val="clear" w:color="auto" w:fill="auto"/>
            <w:vAlign w:val="center"/>
          </w:tcPr>
          <w:p w14:paraId="0A3F5B93" w14:textId="77777777" w:rsidR="00AE654E" w:rsidRPr="008441F8" w:rsidRDefault="00AE654E" w:rsidP="000165F5">
            <w:pPr>
              <w:jc w:val="center"/>
              <w:rPr>
                <w:sz w:val="16"/>
                <w:lang w:val="en-US"/>
              </w:rPr>
            </w:pPr>
            <w:r w:rsidRPr="008441F8">
              <w:rPr>
                <w:sz w:val="16"/>
                <w:lang w:val="en-US"/>
              </w:rPr>
              <w:t>1.26 mM</w:t>
            </w:r>
          </w:p>
        </w:tc>
        <w:tc>
          <w:tcPr>
            <w:tcW w:w="2268" w:type="dxa"/>
            <w:shd w:val="clear" w:color="auto" w:fill="auto"/>
            <w:vAlign w:val="center"/>
          </w:tcPr>
          <w:p w14:paraId="3BA8DDF6" w14:textId="77777777" w:rsidR="00AE654E" w:rsidRPr="008441F8" w:rsidRDefault="00AE654E" w:rsidP="000165F5">
            <w:pPr>
              <w:jc w:val="center"/>
              <w:rPr>
                <w:sz w:val="16"/>
                <w:lang w:val="en-US"/>
              </w:rPr>
            </w:pPr>
            <w:r w:rsidRPr="008441F8">
              <w:rPr>
                <w:sz w:val="16"/>
                <w:lang w:val="en-US"/>
              </w:rPr>
              <w:t xml:space="preserve">22.3 </w:t>
            </w:r>
            <w:r w:rsidRPr="008441F8">
              <w:rPr>
                <w:rFonts w:cstheme="minorHAnsi"/>
                <w:sz w:val="16"/>
                <w:lang w:val="en-US"/>
              </w:rPr>
              <w:t>±</w:t>
            </w:r>
            <w:r w:rsidRPr="008441F8">
              <w:rPr>
                <w:sz w:val="16"/>
                <w:lang w:val="en-US"/>
              </w:rPr>
              <w:t xml:space="preserve"> 0.44 pinosylvin</w:t>
            </w:r>
          </w:p>
        </w:tc>
        <w:tc>
          <w:tcPr>
            <w:tcW w:w="1701" w:type="dxa"/>
            <w:shd w:val="clear" w:color="auto" w:fill="auto"/>
            <w:vAlign w:val="center"/>
          </w:tcPr>
          <w:p w14:paraId="5857EBC0" w14:textId="77777777" w:rsidR="00AE654E" w:rsidRPr="008441F8" w:rsidRDefault="00AE654E" w:rsidP="000165F5">
            <w:pPr>
              <w:jc w:val="center"/>
              <w:rPr>
                <w:sz w:val="16"/>
                <w:lang w:val="en-US"/>
              </w:rPr>
            </w:pPr>
            <w:r w:rsidRPr="008441F8">
              <w:rPr>
                <w:sz w:val="16"/>
                <w:lang w:val="en-US"/>
              </w:rPr>
              <w:t>After 47h</w:t>
            </w:r>
          </w:p>
        </w:tc>
      </w:tr>
      <w:tr w:rsidR="00AE654E" w:rsidRPr="008441F8" w14:paraId="7CEF02B4" w14:textId="77777777" w:rsidTr="005B7F65">
        <w:trPr>
          <w:trHeight w:val="220"/>
        </w:trPr>
        <w:tc>
          <w:tcPr>
            <w:tcW w:w="2122" w:type="dxa"/>
            <w:vMerge/>
            <w:shd w:val="clear" w:color="auto" w:fill="auto"/>
            <w:vAlign w:val="center"/>
          </w:tcPr>
          <w:p w14:paraId="4287EB56" w14:textId="77777777" w:rsidR="00AE654E" w:rsidRPr="008441F8" w:rsidRDefault="00AE654E" w:rsidP="000165F5">
            <w:pPr>
              <w:jc w:val="center"/>
              <w:rPr>
                <w:sz w:val="16"/>
                <w:lang w:val="en-US"/>
              </w:rPr>
            </w:pPr>
          </w:p>
        </w:tc>
        <w:tc>
          <w:tcPr>
            <w:tcW w:w="1559" w:type="dxa"/>
            <w:vMerge/>
            <w:shd w:val="clear" w:color="auto" w:fill="auto"/>
            <w:vAlign w:val="center"/>
          </w:tcPr>
          <w:p w14:paraId="735C1D47" w14:textId="77777777" w:rsidR="00AE654E" w:rsidRPr="008441F8" w:rsidRDefault="00AE654E" w:rsidP="000165F5">
            <w:pPr>
              <w:jc w:val="center"/>
              <w:rPr>
                <w:sz w:val="16"/>
                <w:lang w:val="en-US"/>
              </w:rPr>
            </w:pPr>
          </w:p>
        </w:tc>
        <w:tc>
          <w:tcPr>
            <w:tcW w:w="992" w:type="dxa"/>
            <w:vMerge/>
            <w:shd w:val="clear" w:color="auto" w:fill="auto"/>
            <w:vAlign w:val="center"/>
          </w:tcPr>
          <w:p w14:paraId="2FDC213C" w14:textId="77777777" w:rsidR="00AE654E" w:rsidRPr="008441F8" w:rsidRDefault="00AE654E" w:rsidP="000165F5">
            <w:pPr>
              <w:jc w:val="center"/>
              <w:rPr>
                <w:sz w:val="16"/>
                <w:lang w:val="en-US"/>
              </w:rPr>
            </w:pPr>
          </w:p>
        </w:tc>
        <w:tc>
          <w:tcPr>
            <w:tcW w:w="1985" w:type="dxa"/>
            <w:shd w:val="clear" w:color="auto" w:fill="auto"/>
            <w:vAlign w:val="center"/>
          </w:tcPr>
          <w:p w14:paraId="2AF3B8C4" w14:textId="77777777" w:rsidR="00AE654E" w:rsidRPr="008441F8" w:rsidRDefault="00AE654E" w:rsidP="000165F5">
            <w:pPr>
              <w:jc w:val="center"/>
              <w:rPr>
                <w:sz w:val="16"/>
                <w:lang w:val="en-US"/>
              </w:rPr>
            </w:pPr>
            <w:r w:rsidRPr="008441F8">
              <w:rPr>
                <w:sz w:val="16"/>
                <w:lang w:val="en-US"/>
              </w:rPr>
              <w:t>2 mM phenylalanine</w:t>
            </w:r>
          </w:p>
        </w:tc>
        <w:tc>
          <w:tcPr>
            <w:tcW w:w="850" w:type="dxa"/>
            <w:shd w:val="clear" w:color="auto" w:fill="auto"/>
            <w:vAlign w:val="center"/>
          </w:tcPr>
          <w:p w14:paraId="6303F2FE" w14:textId="77777777" w:rsidR="00AE654E" w:rsidRPr="008441F8" w:rsidRDefault="00AE654E" w:rsidP="000165F5">
            <w:pPr>
              <w:jc w:val="center"/>
              <w:rPr>
                <w:sz w:val="16"/>
                <w:lang w:val="en-US"/>
              </w:rPr>
            </w:pPr>
            <w:r w:rsidRPr="008441F8">
              <w:rPr>
                <w:sz w:val="16"/>
                <w:lang w:val="en-US"/>
              </w:rPr>
              <w:t>0.2</w:t>
            </w:r>
          </w:p>
        </w:tc>
        <w:tc>
          <w:tcPr>
            <w:tcW w:w="709" w:type="dxa"/>
            <w:shd w:val="clear" w:color="auto" w:fill="auto"/>
            <w:vAlign w:val="center"/>
          </w:tcPr>
          <w:p w14:paraId="298DF888" w14:textId="77777777" w:rsidR="00AE654E" w:rsidRPr="008441F8" w:rsidRDefault="00AE654E" w:rsidP="000165F5">
            <w:pPr>
              <w:jc w:val="center"/>
              <w:rPr>
                <w:sz w:val="16"/>
                <w:lang w:val="en-US"/>
              </w:rPr>
            </w:pPr>
            <w:r w:rsidRPr="008441F8">
              <w:rPr>
                <w:sz w:val="16"/>
                <w:lang w:val="en-US"/>
              </w:rPr>
              <w:t>4.43</w:t>
            </w:r>
          </w:p>
        </w:tc>
        <w:tc>
          <w:tcPr>
            <w:tcW w:w="2126" w:type="dxa"/>
            <w:shd w:val="clear" w:color="auto" w:fill="auto"/>
            <w:vAlign w:val="center"/>
          </w:tcPr>
          <w:p w14:paraId="46842F5B" w14:textId="77777777" w:rsidR="00AE654E" w:rsidRPr="008441F8" w:rsidRDefault="00AE654E" w:rsidP="000165F5">
            <w:pPr>
              <w:jc w:val="center"/>
              <w:rPr>
                <w:sz w:val="16"/>
                <w:lang w:val="en-US"/>
              </w:rPr>
            </w:pPr>
            <w:r w:rsidRPr="008441F8">
              <w:rPr>
                <w:sz w:val="16"/>
                <w:lang w:val="en-US"/>
              </w:rPr>
              <w:t>0.74 mM</w:t>
            </w:r>
          </w:p>
        </w:tc>
        <w:tc>
          <w:tcPr>
            <w:tcW w:w="2268" w:type="dxa"/>
            <w:shd w:val="clear" w:color="auto" w:fill="auto"/>
            <w:vAlign w:val="center"/>
          </w:tcPr>
          <w:p w14:paraId="58198781" w14:textId="77777777" w:rsidR="00AE654E" w:rsidRPr="008441F8" w:rsidRDefault="00AE654E" w:rsidP="000165F5">
            <w:pPr>
              <w:jc w:val="center"/>
              <w:rPr>
                <w:sz w:val="16"/>
                <w:lang w:val="en-US"/>
              </w:rPr>
            </w:pPr>
            <w:r w:rsidRPr="008441F8">
              <w:rPr>
                <w:sz w:val="16"/>
                <w:lang w:val="en-US"/>
              </w:rPr>
              <w:t xml:space="preserve">8.43 </w:t>
            </w:r>
            <w:r w:rsidRPr="008441F8">
              <w:rPr>
                <w:rFonts w:cstheme="minorHAnsi"/>
                <w:sz w:val="16"/>
                <w:lang w:val="en-US"/>
              </w:rPr>
              <w:t>±</w:t>
            </w:r>
            <w:r w:rsidRPr="008441F8">
              <w:rPr>
                <w:sz w:val="16"/>
                <w:lang w:val="en-US"/>
              </w:rPr>
              <w:t xml:space="preserve"> 0.5 pinosylvin</w:t>
            </w:r>
          </w:p>
        </w:tc>
        <w:tc>
          <w:tcPr>
            <w:tcW w:w="1701" w:type="dxa"/>
            <w:shd w:val="clear" w:color="auto" w:fill="auto"/>
            <w:vAlign w:val="center"/>
          </w:tcPr>
          <w:p w14:paraId="66704AB6" w14:textId="77777777" w:rsidR="00AE654E" w:rsidRPr="008441F8" w:rsidRDefault="00AE654E" w:rsidP="000165F5">
            <w:pPr>
              <w:jc w:val="center"/>
              <w:rPr>
                <w:sz w:val="16"/>
                <w:lang w:val="en-US"/>
              </w:rPr>
            </w:pPr>
            <w:r w:rsidRPr="008441F8">
              <w:rPr>
                <w:sz w:val="16"/>
                <w:lang w:val="en-US"/>
              </w:rPr>
              <w:t>After 47h</w:t>
            </w:r>
          </w:p>
        </w:tc>
      </w:tr>
      <w:tr w:rsidR="00AE654E" w:rsidRPr="008441F8" w14:paraId="41290730" w14:textId="77777777" w:rsidTr="005B7F65">
        <w:trPr>
          <w:trHeight w:val="441"/>
        </w:trPr>
        <w:tc>
          <w:tcPr>
            <w:tcW w:w="2122" w:type="dxa"/>
            <w:vMerge/>
            <w:shd w:val="clear" w:color="auto" w:fill="auto"/>
            <w:vAlign w:val="center"/>
          </w:tcPr>
          <w:p w14:paraId="7847A461" w14:textId="77777777" w:rsidR="00AE654E" w:rsidRPr="008441F8" w:rsidRDefault="00AE654E" w:rsidP="000165F5">
            <w:pPr>
              <w:jc w:val="center"/>
              <w:rPr>
                <w:sz w:val="16"/>
                <w:lang w:val="en-US"/>
              </w:rPr>
            </w:pPr>
          </w:p>
        </w:tc>
        <w:tc>
          <w:tcPr>
            <w:tcW w:w="1559" w:type="dxa"/>
            <w:vMerge/>
            <w:shd w:val="clear" w:color="auto" w:fill="auto"/>
            <w:vAlign w:val="center"/>
          </w:tcPr>
          <w:p w14:paraId="6F7A1A24" w14:textId="77777777" w:rsidR="00AE654E" w:rsidRPr="008441F8" w:rsidRDefault="00AE654E" w:rsidP="000165F5">
            <w:pPr>
              <w:jc w:val="center"/>
              <w:rPr>
                <w:sz w:val="16"/>
                <w:lang w:val="en-US"/>
              </w:rPr>
            </w:pPr>
          </w:p>
        </w:tc>
        <w:tc>
          <w:tcPr>
            <w:tcW w:w="992" w:type="dxa"/>
            <w:shd w:val="clear" w:color="auto" w:fill="auto"/>
            <w:vAlign w:val="center"/>
          </w:tcPr>
          <w:p w14:paraId="3A49CF7D"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3CA9C45A" w14:textId="77777777" w:rsidR="00AE654E" w:rsidRPr="008441F8" w:rsidRDefault="00AE654E" w:rsidP="000165F5">
            <w:pPr>
              <w:jc w:val="center"/>
              <w:rPr>
                <w:sz w:val="16"/>
                <w:lang w:val="en-US"/>
              </w:rPr>
            </w:pPr>
            <w:r w:rsidRPr="008441F8">
              <w:rPr>
                <w:sz w:val="16"/>
                <w:lang w:val="en-US"/>
              </w:rPr>
              <w:t>2 mM coumarate</w:t>
            </w:r>
          </w:p>
        </w:tc>
        <w:tc>
          <w:tcPr>
            <w:tcW w:w="850" w:type="dxa"/>
            <w:shd w:val="clear" w:color="auto" w:fill="auto"/>
            <w:vAlign w:val="center"/>
          </w:tcPr>
          <w:p w14:paraId="57DE97A5" w14:textId="77777777" w:rsidR="00AE654E" w:rsidRPr="008441F8" w:rsidRDefault="00AE654E" w:rsidP="000165F5">
            <w:pPr>
              <w:jc w:val="center"/>
              <w:rPr>
                <w:sz w:val="16"/>
                <w:lang w:val="en-US"/>
              </w:rPr>
            </w:pPr>
            <w:r w:rsidRPr="008441F8">
              <w:rPr>
                <w:sz w:val="16"/>
                <w:lang w:val="en-US"/>
              </w:rPr>
              <w:t>0.2</w:t>
            </w:r>
          </w:p>
        </w:tc>
        <w:tc>
          <w:tcPr>
            <w:tcW w:w="709" w:type="dxa"/>
            <w:shd w:val="clear" w:color="auto" w:fill="auto"/>
            <w:vAlign w:val="center"/>
          </w:tcPr>
          <w:p w14:paraId="116C84D0" w14:textId="77777777" w:rsidR="00AE654E" w:rsidRPr="008441F8" w:rsidRDefault="00AE654E" w:rsidP="000165F5">
            <w:pPr>
              <w:jc w:val="center"/>
              <w:rPr>
                <w:sz w:val="16"/>
                <w:lang w:val="en-US"/>
              </w:rPr>
            </w:pPr>
            <w:r w:rsidRPr="008441F8">
              <w:rPr>
                <w:sz w:val="16"/>
                <w:lang w:val="en-US"/>
              </w:rPr>
              <w:t>4.27</w:t>
            </w:r>
          </w:p>
        </w:tc>
        <w:tc>
          <w:tcPr>
            <w:tcW w:w="2126" w:type="dxa"/>
            <w:shd w:val="clear" w:color="auto" w:fill="auto"/>
            <w:vAlign w:val="center"/>
          </w:tcPr>
          <w:p w14:paraId="0B2FDA4F" w14:textId="77777777" w:rsidR="00AE654E" w:rsidRPr="008441F8" w:rsidRDefault="00AE654E" w:rsidP="000165F5">
            <w:pPr>
              <w:widowControl w:val="0"/>
              <w:jc w:val="center"/>
              <w:rPr>
                <w:sz w:val="16"/>
                <w:lang w:val="en-US"/>
              </w:rPr>
            </w:pPr>
            <w:r w:rsidRPr="008441F8">
              <w:rPr>
                <w:sz w:val="16"/>
                <w:lang w:val="en-US"/>
              </w:rPr>
              <w:t xml:space="preserve">1.56 mM </w:t>
            </w:r>
            <w:r w:rsidRPr="008441F8">
              <w:rPr>
                <w:i/>
                <w:sz w:val="16"/>
                <w:lang w:val="en-US"/>
              </w:rPr>
              <w:t>p</w:t>
            </w:r>
            <w:r w:rsidRPr="008441F8">
              <w:rPr>
                <w:sz w:val="16"/>
                <w:lang w:val="en-US"/>
              </w:rPr>
              <w:noBreakHyphen/>
              <w:t>coumarate</w:t>
            </w:r>
          </w:p>
        </w:tc>
        <w:tc>
          <w:tcPr>
            <w:tcW w:w="2268" w:type="dxa"/>
            <w:shd w:val="clear" w:color="auto" w:fill="auto"/>
            <w:vAlign w:val="center"/>
          </w:tcPr>
          <w:p w14:paraId="45D6CBC3" w14:textId="77777777" w:rsidR="00AE654E" w:rsidRPr="008441F8" w:rsidRDefault="00AE654E" w:rsidP="000165F5">
            <w:pPr>
              <w:widowControl w:val="0"/>
              <w:jc w:val="center"/>
              <w:rPr>
                <w:sz w:val="16"/>
                <w:lang w:val="en-US"/>
              </w:rPr>
            </w:pPr>
            <w:r w:rsidRPr="008441F8">
              <w:rPr>
                <w:sz w:val="16"/>
                <w:lang w:val="en-US"/>
              </w:rPr>
              <w:t xml:space="preserve">65.7 </w:t>
            </w:r>
            <w:r w:rsidRPr="008441F8">
              <w:rPr>
                <w:rFonts w:cstheme="minorHAnsi"/>
                <w:sz w:val="16"/>
                <w:lang w:val="en-US"/>
              </w:rPr>
              <w:t>±</w:t>
            </w:r>
            <w:r w:rsidRPr="008441F8">
              <w:rPr>
                <w:sz w:val="16"/>
                <w:lang w:val="en-US"/>
              </w:rPr>
              <w:t xml:space="preserve"> 3.9 Resveratrol</w:t>
            </w:r>
          </w:p>
          <w:p w14:paraId="5C53C11E" w14:textId="77777777" w:rsidR="00AE654E" w:rsidRPr="008441F8" w:rsidRDefault="00AE654E" w:rsidP="000165F5">
            <w:pPr>
              <w:widowControl w:val="0"/>
              <w:jc w:val="center"/>
              <w:rPr>
                <w:sz w:val="16"/>
                <w:lang w:val="en-US"/>
              </w:rPr>
            </w:pPr>
            <w:r w:rsidRPr="008441F8">
              <w:rPr>
                <w:sz w:val="16"/>
                <w:lang w:val="en-US"/>
              </w:rPr>
              <w:t xml:space="preserve">5.4 </w:t>
            </w:r>
            <w:r w:rsidRPr="008441F8">
              <w:rPr>
                <w:rFonts w:cstheme="minorHAnsi"/>
                <w:sz w:val="16"/>
                <w:lang w:val="en-US"/>
              </w:rPr>
              <w:t>±</w:t>
            </w:r>
            <w:r w:rsidRPr="008441F8">
              <w:rPr>
                <w:sz w:val="16"/>
                <w:lang w:val="en-US"/>
              </w:rPr>
              <w:t xml:space="preserve"> 0.3 Pinosylvin</w:t>
            </w:r>
          </w:p>
          <w:p w14:paraId="14248E77" w14:textId="77777777" w:rsidR="00AE654E" w:rsidRPr="008441F8" w:rsidRDefault="00AE654E" w:rsidP="000165F5">
            <w:pPr>
              <w:widowControl w:val="0"/>
              <w:jc w:val="center"/>
              <w:rPr>
                <w:sz w:val="16"/>
                <w:lang w:val="en-US"/>
              </w:rPr>
            </w:pPr>
            <w:r w:rsidRPr="008441F8">
              <w:rPr>
                <w:sz w:val="16"/>
                <w:lang w:val="en-US"/>
              </w:rPr>
              <w:t xml:space="preserve">0.16 mM </w:t>
            </w:r>
            <w:r w:rsidRPr="008441F8">
              <w:rPr>
                <w:i/>
                <w:sz w:val="16"/>
                <w:lang w:val="en-US"/>
              </w:rPr>
              <w:t>t</w:t>
            </w:r>
            <w:r w:rsidRPr="008441F8">
              <w:rPr>
                <w:sz w:val="16"/>
                <w:lang w:val="en-US"/>
              </w:rPr>
              <w:noBreakHyphen/>
              <w:t>cinnamate</w:t>
            </w:r>
          </w:p>
        </w:tc>
        <w:tc>
          <w:tcPr>
            <w:tcW w:w="1701" w:type="dxa"/>
            <w:shd w:val="clear" w:color="auto" w:fill="auto"/>
            <w:vAlign w:val="center"/>
          </w:tcPr>
          <w:p w14:paraId="597A3AA7" w14:textId="77777777" w:rsidR="00AE654E" w:rsidRPr="008441F8" w:rsidRDefault="00AE654E" w:rsidP="000165F5">
            <w:pPr>
              <w:jc w:val="center"/>
              <w:rPr>
                <w:sz w:val="16"/>
                <w:lang w:val="en-US"/>
              </w:rPr>
            </w:pPr>
          </w:p>
        </w:tc>
      </w:tr>
      <w:tr w:rsidR="00AE654E" w:rsidRPr="008441F8" w14:paraId="232C1DDB" w14:textId="77777777" w:rsidTr="005B7F65">
        <w:trPr>
          <w:trHeight w:val="93"/>
        </w:trPr>
        <w:tc>
          <w:tcPr>
            <w:tcW w:w="2122" w:type="dxa"/>
            <w:shd w:val="clear" w:color="auto" w:fill="auto"/>
            <w:vAlign w:val="center"/>
          </w:tcPr>
          <w:p w14:paraId="5E059334"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 </w:t>
            </w:r>
            <w:r w:rsidRPr="008441F8">
              <w:rPr>
                <w:i/>
                <w:sz w:val="16"/>
                <w:lang w:val="en-US"/>
              </w:rPr>
              <w:t>Cg_ACC</w:t>
            </w:r>
          </w:p>
        </w:tc>
        <w:tc>
          <w:tcPr>
            <w:tcW w:w="1559" w:type="dxa"/>
            <w:vMerge/>
            <w:shd w:val="clear" w:color="auto" w:fill="auto"/>
            <w:vAlign w:val="center"/>
          </w:tcPr>
          <w:p w14:paraId="16ED18C5" w14:textId="77777777" w:rsidR="00AE654E" w:rsidRPr="008441F8" w:rsidRDefault="00AE654E" w:rsidP="000165F5">
            <w:pPr>
              <w:jc w:val="center"/>
              <w:rPr>
                <w:sz w:val="16"/>
                <w:lang w:val="en-US"/>
              </w:rPr>
            </w:pPr>
          </w:p>
        </w:tc>
        <w:tc>
          <w:tcPr>
            <w:tcW w:w="992" w:type="dxa"/>
            <w:shd w:val="clear" w:color="auto" w:fill="auto"/>
            <w:vAlign w:val="center"/>
          </w:tcPr>
          <w:p w14:paraId="20DC001B"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32FCCAAD" w14:textId="77777777" w:rsidR="00AE654E" w:rsidRPr="008441F8" w:rsidRDefault="00AE654E" w:rsidP="000165F5">
            <w:pPr>
              <w:jc w:val="center"/>
              <w:rPr>
                <w:sz w:val="16"/>
                <w:lang w:val="en-US"/>
              </w:rPr>
            </w:pPr>
            <w:r w:rsidRPr="008441F8">
              <w:rPr>
                <w:sz w:val="16"/>
                <w:lang w:val="en-US"/>
              </w:rPr>
              <w:t>2 mM cinnamate</w:t>
            </w:r>
          </w:p>
        </w:tc>
        <w:tc>
          <w:tcPr>
            <w:tcW w:w="850" w:type="dxa"/>
            <w:shd w:val="clear" w:color="auto" w:fill="auto"/>
            <w:vAlign w:val="center"/>
          </w:tcPr>
          <w:p w14:paraId="26F81189" w14:textId="77777777" w:rsidR="00AE654E" w:rsidRPr="008441F8" w:rsidRDefault="00AE654E" w:rsidP="000165F5">
            <w:pPr>
              <w:jc w:val="center"/>
              <w:rPr>
                <w:sz w:val="16"/>
                <w:lang w:val="en-US"/>
              </w:rPr>
            </w:pPr>
            <w:r w:rsidRPr="008441F8">
              <w:rPr>
                <w:sz w:val="16"/>
                <w:lang w:val="en-US"/>
              </w:rPr>
              <w:t>0.2</w:t>
            </w:r>
          </w:p>
        </w:tc>
        <w:tc>
          <w:tcPr>
            <w:tcW w:w="709" w:type="dxa"/>
            <w:shd w:val="clear" w:color="auto" w:fill="auto"/>
            <w:vAlign w:val="center"/>
          </w:tcPr>
          <w:p w14:paraId="15C58193" w14:textId="77777777" w:rsidR="00AE654E" w:rsidRPr="008441F8" w:rsidRDefault="00AE654E" w:rsidP="000165F5">
            <w:pPr>
              <w:jc w:val="center"/>
              <w:rPr>
                <w:sz w:val="16"/>
                <w:lang w:val="en-US"/>
              </w:rPr>
            </w:pPr>
            <w:r w:rsidRPr="008441F8">
              <w:rPr>
                <w:sz w:val="16"/>
                <w:lang w:val="en-US"/>
              </w:rPr>
              <w:t>3.87</w:t>
            </w:r>
          </w:p>
        </w:tc>
        <w:tc>
          <w:tcPr>
            <w:tcW w:w="2126" w:type="dxa"/>
            <w:shd w:val="clear" w:color="auto" w:fill="auto"/>
            <w:vAlign w:val="center"/>
          </w:tcPr>
          <w:p w14:paraId="55089ED8" w14:textId="77777777" w:rsidR="00AE654E" w:rsidRPr="008441F8" w:rsidRDefault="00AE654E" w:rsidP="000165F5">
            <w:pPr>
              <w:jc w:val="center"/>
              <w:rPr>
                <w:sz w:val="16"/>
                <w:lang w:val="en-US"/>
              </w:rPr>
            </w:pPr>
            <w:r w:rsidRPr="008441F8">
              <w:rPr>
                <w:sz w:val="16"/>
                <w:lang w:val="en-US"/>
              </w:rPr>
              <w:t>1.73 mM</w:t>
            </w:r>
          </w:p>
        </w:tc>
        <w:tc>
          <w:tcPr>
            <w:tcW w:w="2268" w:type="dxa"/>
            <w:shd w:val="clear" w:color="auto" w:fill="auto"/>
            <w:vAlign w:val="center"/>
          </w:tcPr>
          <w:p w14:paraId="46C2B862" w14:textId="77777777" w:rsidR="00AE654E" w:rsidRPr="008441F8" w:rsidRDefault="00AE654E" w:rsidP="000165F5">
            <w:pPr>
              <w:jc w:val="center"/>
              <w:rPr>
                <w:sz w:val="16"/>
                <w:lang w:val="en-US"/>
              </w:rPr>
            </w:pPr>
            <w:r w:rsidRPr="008441F8">
              <w:rPr>
                <w:sz w:val="16"/>
                <w:lang w:val="en-US"/>
              </w:rPr>
              <w:t xml:space="preserve">16.2 </w:t>
            </w:r>
            <w:r w:rsidRPr="008441F8">
              <w:rPr>
                <w:rFonts w:cstheme="minorHAnsi"/>
                <w:sz w:val="16"/>
                <w:lang w:val="en-US"/>
              </w:rPr>
              <w:t>±</w:t>
            </w:r>
            <w:r w:rsidRPr="008441F8">
              <w:rPr>
                <w:sz w:val="16"/>
                <w:lang w:val="en-US"/>
              </w:rPr>
              <w:t xml:space="preserve"> 1 pinosylvin</w:t>
            </w:r>
          </w:p>
        </w:tc>
        <w:tc>
          <w:tcPr>
            <w:tcW w:w="1701" w:type="dxa"/>
            <w:shd w:val="clear" w:color="auto" w:fill="auto"/>
            <w:vAlign w:val="center"/>
          </w:tcPr>
          <w:p w14:paraId="3728615E" w14:textId="77777777" w:rsidR="00AE654E" w:rsidRPr="008441F8" w:rsidRDefault="00AE654E" w:rsidP="000165F5">
            <w:pPr>
              <w:jc w:val="center"/>
              <w:rPr>
                <w:sz w:val="16"/>
                <w:lang w:val="en-US"/>
              </w:rPr>
            </w:pPr>
          </w:p>
        </w:tc>
      </w:tr>
      <w:tr w:rsidR="00AE654E" w:rsidRPr="008441F8" w14:paraId="00D686A2" w14:textId="77777777" w:rsidTr="005B7F65">
        <w:trPr>
          <w:trHeight w:val="426"/>
        </w:trPr>
        <w:tc>
          <w:tcPr>
            <w:tcW w:w="2122" w:type="dxa"/>
            <w:shd w:val="clear" w:color="auto" w:fill="auto"/>
            <w:vAlign w:val="center"/>
          </w:tcPr>
          <w:p w14:paraId="6E8211B4"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 </w:t>
            </w:r>
            <w:r w:rsidRPr="008441F8">
              <w:rPr>
                <w:i/>
                <w:sz w:val="16"/>
                <w:lang w:val="en-US"/>
              </w:rPr>
              <w:t>trpE</w:t>
            </w:r>
            <w:r w:rsidRPr="008441F8">
              <w:rPr>
                <w:i/>
                <w:sz w:val="16"/>
                <w:vertAlign w:val="superscript"/>
                <w:lang w:val="en-US"/>
              </w:rPr>
              <w:t>P290S</w:t>
            </w:r>
          </w:p>
        </w:tc>
        <w:tc>
          <w:tcPr>
            <w:tcW w:w="1559" w:type="dxa"/>
            <w:vMerge/>
            <w:shd w:val="clear" w:color="auto" w:fill="auto"/>
            <w:vAlign w:val="center"/>
          </w:tcPr>
          <w:p w14:paraId="0EEE1A9C" w14:textId="77777777" w:rsidR="00AE654E" w:rsidRPr="008441F8" w:rsidRDefault="00AE654E" w:rsidP="000165F5">
            <w:pPr>
              <w:jc w:val="center"/>
              <w:rPr>
                <w:sz w:val="16"/>
                <w:lang w:val="en-US"/>
              </w:rPr>
            </w:pPr>
          </w:p>
        </w:tc>
        <w:tc>
          <w:tcPr>
            <w:tcW w:w="992" w:type="dxa"/>
            <w:shd w:val="clear" w:color="auto" w:fill="auto"/>
            <w:vAlign w:val="center"/>
          </w:tcPr>
          <w:p w14:paraId="5F7F7BA8"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38B7C395" w14:textId="77777777" w:rsidR="00AE654E" w:rsidRPr="008441F8" w:rsidRDefault="00AE654E" w:rsidP="000165F5">
            <w:pPr>
              <w:jc w:val="center"/>
              <w:rPr>
                <w:sz w:val="16"/>
                <w:lang w:val="en-US"/>
              </w:rPr>
            </w:pPr>
            <w:r w:rsidRPr="008441F8">
              <w:rPr>
                <w:sz w:val="16"/>
                <w:lang w:val="en-US"/>
              </w:rPr>
              <w:t>none</w:t>
            </w:r>
          </w:p>
        </w:tc>
        <w:tc>
          <w:tcPr>
            <w:tcW w:w="850" w:type="dxa"/>
            <w:shd w:val="clear" w:color="auto" w:fill="auto"/>
            <w:vAlign w:val="center"/>
          </w:tcPr>
          <w:p w14:paraId="7CD70603"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600EADF4" w14:textId="77777777" w:rsidR="00AE654E" w:rsidRPr="008441F8" w:rsidRDefault="00AE654E" w:rsidP="000165F5">
            <w:pPr>
              <w:jc w:val="center"/>
              <w:rPr>
                <w:sz w:val="16"/>
                <w:lang w:val="en-US"/>
              </w:rPr>
            </w:pPr>
            <w:r w:rsidRPr="008441F8">
              <w:rPr>
                <w:sz w:val="16"/>
                <w:lang w:val="en-US"/>
              </w:rPr>
              <w:t>4</w:t>
            </w:r>
          </w:p>
        </w:tc>
        <w:tc>
          <w:tcPr>
            <w:tcW w:w="2126" w:type="dxa"/>
            <w:shd w:val="clear" w:color="auto" w:fill="auto"/>
            <w:vAlign w:val="center"/>
          </w:tcPr>
          <w:p w14:paraId="2E345610" w14:textId="77777777" w:rsidR="00AE654E" w:rsidRPr="008441F8" w:rsidRDefault="00AE654E" w:rsidP="000165F5">
            <w:pPr>
              <w:jc w:val="center"/>
              <w:rPr>
                <w:sz w:val="16"/>
                <w:lang w:val="en-US"/>
              </w:rPr>
            </w:pPr>
          </w:p>
        </w:tc>
        <w:tc>
          <w:tcPr>
            <w:tcW w:w="2268" w:type="dxa"/>
            <w:shd w:val="clear" w:color="auto" w:fill="auto"/>
            <w:vAlign w:val="center"/>
          </w:tcPr>
          <w:p w14:paraId="28D67749" w14:textId="77777777" w:rsidR="00AE654E" w:rsidRPr="008441F8" w:rsidRDefault="00AE654E" w:rsidP="000165F5">
            <w:pPr>
              <w:jc w:val="center"/>
              <w:rPr>
                <w:sz w:val="16"/>
                <w:lang w:val="en-US"/>
              </w:rPr>
            </w:pPr>
            <w:r w:rsidRPr="008441F8">
              <w:rPr>
                <w:sz w:val="16"/>
                <w:lang w:val="en-US"/>
              </w:rPr>
              <w:t xml:space="preserve">7.1 </w:t>
            </w:r>
            <w:r w:rsidRPr="008441F8">
              <w:rPr>
                <w:rFonts w:cstheme="minorHAnsi"/>
                <w:sz w:val="16"/>
                <w:lang w:val="en-US"/>
              </w:rPr>
              <w:t>±</w:t>
            </w:r>
            <w:r w:rsidRPr="008441F8">
              <w:rPr>
                <w:sz w:val="16"/>
                <w:lang w:val="en-US"/>
              </w:rPr>
              <w:t xml:space="preserve"> 0.22 pinosylvin</w:t>
            </w:r>
          </w:p>
          <w:p w14:paraId="46AAEC55" w14:textId="77777777" w:rsidR="00AE654E" w:rsidRPr="008441F8" w:rsidRDefault="00AE654E" w:rsidP="000165F5">
            <w:pPr>
              <w:jc w:val="center"/>
              <w:rPr>
                <w:sz w:val="16"/>
                <w:lang w:val="en-US"/>
              </w:rPr>
            </w:pPr>
            <w:r w:rsidRPr="008441F8">
              <w:rPr>
                <w:sz w:val="16"/>
                <w:lang w:val="en-US"/>
              </w:rPr>
              <w:t xml:space="preserve">1.593 </w:t>
            </w:r>
            <w:r w:rsidRPr="008441F8">
              <w:rPr>
                <w:rFonts w:cstheme="minorHAnsi"/>
                <w:sz w:val="16"/>
                <w:lang w:val="en-US"/>
              </w:rPr>
              <w:t>±</w:t>
            </w:r>
            <w:r w:rsidRPr="008441F8">
              <w:rPr>
                <w:sz w:val="16"/>
                <w:lang w:val="en-US"/>
              </w:rPr>
              <w:t xml:space="preserve"> 0.004 mM cinnamate</w:t>
            </w:r>
          </w:p>
        </w:tc>
        <w:tc>
          <w:tcPr>
            <w:tcW w:w="1701" w:type="dxa"/>
            <w:shd w:val="clear" w:color="auto" w:fill="auto"/>
            <w:vAlign w:val="center"/>
          </w:tcPr>
          <w:p w14:paraId="2639574A" w14:textId="77777777" w:rsidR="00AE654E" w:rsidRPr="008441F8" w:rsidRDefault="00AE654E" w:rsidP="000165F5">
            <w:pPr>
              <w:jc w:val="center"/>
              <w:rPr>
                <w:sz w:val="16"/>
                <w:lang w:val="en-US"/>
              </w:rPr>
            </w:pPr>
          </w:p>
        </w:tc>
      </w:tr>
      <w:tr w:rsidR="00AE654E" w:rsidRPr="008441F8" w14:paraId="29915AA9" w14:textId="77777777" w:rsidTr="005B7F65">
        <w:trPr>
          <w:trHeight w:val="426"/>
        </w:trPr>
        <w:tc>
          <w:tcPr>
            <w:tcW w:w="2122" w:type="dxa"/>
            <w:vMerge w:val="restart"/>
            <w:vAlign w:val="center"/>
          </w:tcPr>
          <w:p w14:paraId="40F792AC"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 </w:t>
            </w:r>
            <w:r w:rsidRPr="008441F8">
              <w:rPr>
                <w:i/>
                <w:sz w:val="16"/>
                <w:lang w:val="en-US"/>
              </w:rPr>
              <w:t>trpE</w:t>
            </w:r>
            <w:r w:rsidRPr="008441F8">
              <w:rPr>
                <w:i/>
                <w:sz w:val="16"/>
                <w:vertAlign w:val="superscript"/>
                <w:lang w:val="en-US"/>
              </w:rPr>
              <w:t>P290S</w:t>
            </w:r>
          </w:p>
        </w:tc>
        <w:tc>
          <w:tcPr>
            <w:tcW w:w="1559" w:type="dxa"/>
            <w:vMerge/>
            <w:vAlign w:val="center"/>
          </w:tcPr>
          <w:p w14:paraId="74C2B590" w14:textId="77777777" w:rsidR="00AE654E" w:rsidRPr="008441F8" w:rsidRDefault="00AE654E" w:rsidP="000165F5">
            <w:pPr>
              <w:jc w:val="center"/>
              <w:rPr>
                <w:sz w:val="16"/>
                <w:lang w:val="en-US"/>
              </w:rPr>
            </w:pPr>
          </w:p>
        </w:tc>
        <w:tc>
          <w:tcPr>
            <w:tcW w:w="992" w:type="dxa"/>
            <w:vAlign w:val="center"/>
          </w:tcPr>
          <w:p w14:paraId="6CBC3BE3" w14:textId="77777777" w:rsidR="00AE654E" w:rsidRPr="008441F8" w:rsidRDefault="00AE654E" w:rsidP="000165F5">
            <w:pPr>
              <w:jc w:val="center"/>
              <w:rPr>
                <w:sz w:val="16"/>
                <w:lang w:val="en-US"/>
              </w:rPr>
            </w:pPr>
            <w:r w:rsidRPr="008441F8">
              <w:rPr>
                <w:sz w:val="16"/>
                <w:lang w:val="en-US"/>
              </w:rPr>
              <w:t>30 mM glc</w:t>
            </w:r>
          </w:p>
        </w:tc>
        <w:tc>
          <w:tcPr>
            <w:tcW w:w="1985" w:type="dxa"/>
            <w:vAlign w:val="center"/>
          </w:tcPr>
          <w:p w14:paraId="0C5266EF" w14:textId="77777777" w:rsidR="00AE654E" w:rsidRPr="008441F8" w:rsidRDefault="00AE654E" w:rsidP="000165F5">
            <w:pPr>
              <w:jc w:val="center"/>
              <w:rPr>
                <w:sz w:val="16"/>
                <w:lang w:val="en-US"/>
              </w:rPr>
            </w:pPr>
            <w:r w:rsidRPr="008441F8">
              <w:rPr>
                <w:sz w:val="16"/>
                <w:lang w:val="en-US"/>
              </w:rPr>
              <w:t>none</w:t>
            </w:r>
          </w:p>
        </w:tc>
        <w:tc>
          <w:tcPr>
            <w:tcW w:w="850" w:type="dxa"/>
            <w:vAlign w:val="center"/>
          </w:tcPr>
          <w:p w14:paraId="50438EDA" w14:textId="77777777" w:rsidR="00AE654E" w:rsidRPr="008441F8" w:rsidRDefault="00AE654E" w:rsidP="000165F5">
            <w:pPr>
              <w:jc w:val="center"/>
              <w:rPr>
                <w:sz w:val="16"/>
                <w:lang w:val="en-US"/>
              </w:rPr>
            </w:pPr>
            <w:r w:rsidRPr="008441F8">
              <w:rPr>
                <w:sz w:val="16"/>
                <w:lang w:val="en-US"/>
              </w:rPr>
              <w:t>0.2</w:t>
            </w:r>
          </w:p>
        </w:tc>
        <w:tc>
          <w:tcPr>
            <w:tcW w:w="709" w:type="dxa"/>
            <w:vAlign w:val="center"/>
          </w:tcPr>
          <w:p w14:paraId="4ACC2B98" w14:textId="77777777" w:rsidR="00AE654E" w:rsidRPr="008441F8" w:rsidRDefault="00AE654E" w:rsidP="000165F5">
            <w:pPr>
              <w:jc w:val="center"/>
              <w:rPr>
                <w:sz w:val="16"/>
                <w:lang w:val="en-US"/>
              </w:rPr>
            </w:pPr>
            <w:r w:rsidRPr="008441F8">
              <w:rPr>
                <w:sz w:val="16"/>
                <w:lang w:val="en-US"/>
              </w:rPr>
              <w:t>4</w:t>
            </w:r>
          </w:p>
        </w:tc>
        <w:tc>
          <w:tcPr>
            <w:tcW w:w="2126" w:type="dxa"/>
            <w:vAlign w:val="center"/>
          </w:tcPr>
          <w:p w14:paraId="15B13D5D" w14:textId="77777777" w:rsidR="00AE654E" w:rsidRPr="008441F8" w:rsidRDefault="00AE654E" w:rsidP="000165F5">
            <w:pPr>
              <w:jc w:val="center"/>
              <w:rPr>
                <w:sz w:val="16"/>
                <w:lang w:val="en-US"/>
              </w:rPr>
            </w:pPr>
          </w:p>
        </w:tc>
        <w:tc>
          <w:tcPr>
            <w:tcW w:w="2268" w:type="dxa"/>
            <w:vAlign w:val="center"/>
          </w:tcPr>
          <w:p w14:paraId="4B8BD5C7" w14:textId="77777777" w:rsidR="00AE654E" w:rsidRPr="008441F8" w:rsidRDefault="00AE654E" w:rsidP="000165F5">
            <w:pPr>
              <w:jc w:val="center"/>
              <w:rPr>
                <w:sz w:val="16"/>
                <w:lang w:val="en-US"/>
              </w:rPr>
            </w:pPr>
            <w:r w:rsidRPr="008441F8">
              <w:rPr>
                <w:sz w:val="16"/>
                <w:lang w:val="en-US"/>
              </w:rPr>
              <w:t xml:space="preserve">7.4 </w:t>
            </w:r>
            <w:r w:rsidRPr="008441F8">
              <w:rPr>
                <w:rFonts w:cstheme="minorHAnsi"/>
                <w:sz w:val="16"/>
                <w:lang w:val="en-US"/>
              </w:rPr>
              <w:t>±</w:t>
            </w:r>
            <w:r w:rsidRPr="008441F8">
              <w:rPr>
                <w:sz w:val="16"/>
                <w:lang w:val="en-US"/>
              </w:rPr>
              <w:t xml:space="preserve"> 0.3 pinosylvin</w:t>
            </w:r>
          </w:p>
          <w:p w14:paraId="4E950796" w14:textId="77777777" w:rsidR="00AE654E" w:rsidRPr="008441F8" w:rsidRDefault="00AE654E" w:rsidP="000165F5">
            <w:pPr>
              <w:jc w:val="center"/>
              <w:rPr>
                <w:sz w:val="16"/>
                <w:lang w:val="en-US"/>
              </w:rPr>
            </w:pPr>
            <w:r w:rsidRPr="008441F8">
              <w:rPr>
                <w:sz w:val="16"/>
                <w:lang w:val="en-US"/>
              </w:rPr>
              <w:t xml:space="preserve">1.6 </w:t>
            </w:r>
            <w:r w:rsidRPr="008441F8">
              <w:rPr>
                <w:rFonts w:cstheme="minorHAnsi"/>
                <w:sz w:val="16"/>
                <w:lang w:val="en-US"/>
              </w:rPr>
              <w:t>±</w:t>
            </w:r>
            <w:r w:rsidRPr="008441F8">
              <w:rPr>
                <w:sz w:val="16"/>
                <w:lang w:val="en-US"/>
              </w:rPr>
              <w:t xml:space="preserve"> 0.01 mM cinnamate</w:t>
            </w:r>
          </w:p>
        </w:tc>
        <w:tc>
          <w:tcPr>
            <w:tcW w:w="1701" w:type="dxa"/>
            <w:vAlign w:val="center"/>
          </w:tcPr>
          <w:p w14:paraId="4650EC98" w14:textId="77777777" w:rsidR="00AE654E" w:rsidRPr="008441F8" w:rsidRDefault="00AE654E" w:rsidP="000165F5">
            <w:pPr>
              <w:jc w:val="center"/>
              <w:rPr>
                <w:sz w:val="16"/>
                <w:lang w:val="en-US"/>
              </w:rPr>
            </w:pPr>
          </w:p>
        </w:tc>
      </w:tr>
      <w:tr w:rsidR="00AE654E" w:rsidRPr="008441F8" w14:paraId="48504971" w14:textId="77777777" w:rsidTr="005B7F65">
        <w:trPr>
          <w:trHeight w:val="426"/>
        </w:trPr>
        <w:tc>
          <w:tcPr>
            <w:tcW w:w="2122" w:type="dxa"/>
            <w:vMerge/>
            <w:vAlign w:val="center"/>
          </w:tcPr>
          <w:p w14:paraId="484FDE42" w14:textId="77777777" w:rsidR="00AE654E" w:rsidRPr="008441F8" w:rsidRDefault="00AE654E" w:rsidP="000165F5">
            <w:pPr>
              <w:jc w:val="center"/>
              <w:rPr>
                <w:sz w:val="16"/>
                <w:lang w:val="en-US"/>
              </w:rPr>
            </w:pPr>
          </w:p>
        </w:tc>
        <w:tc>
          <w:tcPr>
            <w:tcW w:w="1559" w:type="dxa"/>
            <w:vMerge/>
            <w:vAlign w:val="center"/>
          </w:tcPr>
          <w:p w14:paraId="3B0E7427" w14:textId="77777777" w:rsidR="00AE654E" w:rsidRPr="008441F8" w:rsidRDefault="00AE654E" w:rsidP="000165F5">
            <w:pPr>
              <w:jc w:val="center"/>
              <w:rPr>
                <w:sz w:val="16"/>
                <w:lang w:val="en-US"/>
              </w:rPr>
            </w:pPr>
          </w:p>
        </w:tc>
        <w:tc>
          <w:tcPr>
            <w:tcW w:w="992" w:type="dxa"/>
            <w:vAlign w:val="center"/>
          </w:tcPr>
          <w:p w14:paraId="348ABE68" w14:textId="77777777" w:rsidR="00AE654E" w:rsidRPr="008441F8" w:rsidRDefault="00AE654E" w:rsidP="000165F5">
            <w:pPr>
              <w:jc w:val="center"/>
              <w:rPr>
                <w:sz w:val="16"/>
                <w:lang w:val="en-US"/>
              </w:rPr>
            </w:pPr>
            <w:r w:rsidRPr="008441F8">
              <w:rPr>
                <w:sz w:val="16"/>
                <w:lang w:val="en-US"/>
              </w:rPr>
              <w:t>60 mM glc</w:t>
            </w:r>
          </w:p>
        </w:tc>
        <w:tc>
          <w:tcPr>
            <w:tcW w:w="1985" w:type="dxa"/>
            <w:vAlign w:val="center"/>
          </w:tcPr>
          <w:p w14:paraId="49B76523" w14:textId="77777777" w:rsidR="00AE654E" w:rsidRPr="008441F8" w:rsidRDefault="00AE654E" w:rsidP="000165F5">
            <w:pPr>
              <w:jc w:val="center"/>
              <w:rPr>
                <w:sz w:val="16"/>
                <w:lang w:val="en-US"/>
              </w:rPr>
            </w:pPr>
            <w:r w:rsidRPr="008441F8">
              <w:rPr>
                <w:sz w:val="16"/>
                <w:lang w:val="en-US"/>
              </w:rPr>
              <w:t>none</w:t>
            </w:r>
          </w:p>
        </w:tc>
        <w:tc>
          <w:tcPr>
            <w:tcW w:w="850" w:type="dxa"/>
            <w:shd w:val="clear" w:color="auto" w:fill="auto"/>
            <w:vAlign w:val="center"/>
          </w:tcPr>
          <w:p w14:paraId="1BAFC2E3" w14:textId="77777777" w:rsidR="00AE654E" w:rsidRPr="008441F8" w:rsidRDefault="00AE654E" w:rsidP="000165F5">
            <w:pPr>
              <w:jc w:val="center"/>
              <w:rPr>
                <w:sz w:val="16"/>
                <w:lang w:val="en-US"/>
              </w:rPr>
            </w:pPr>
            <w:r w:rsidRPr="008441F8">
              <w:rPr>
                <w:sz w:val="16"/>
                <w:lang w:val="en-US"/>
              </w:rPr>
              <w:t>0.2</w:t>
            </w:r>
          </w:p>
        </w:tc>
        <w:tc>
          <w:tcPr>
            <w:tcW w:w="709" w:type="dxa"/>
            <w:vAlign w:val="center"/>
          </w:tcPr>
          <w:p w14:paraId="40D449C5" w14:textId="77777777" w:rsidR="00AE654E" w:rsidRPr="008441F8" w:rsidRDefault="00AE654E" w:rsidP="000165F5">
            <w:pPr>
              <w:jc w:val="center"/>
              <w:rPr>
                <w:sz w:val="16"/>
                <w:lang w:val="en-US"/>
              </w:rPr>
            </w:pPr>
            <w:r w:rsidRPr="008441F8">
              <w:rPr>
                <w:sz w:val="16"/>
                <w:lang w:val="en-US"/>
              </w:rPr>
              <w:t>5.43</w:t>
            </w:r>
          </w:p>
        </w:tc>
        <w:tc>
          <w:tcPr>
            <w:tcW w:w="2126" w:type="dxa"/>
            <w:vAlign w:val="center"/>
          </w:tcPr>
          <w:p w14:paraId="2B1ED319" w14:textId="77777777" w:rsidR="00AE654E" w:rsidRPr="008441F8" w:rsidRDefault="00AE654E" w:rsidP="000165F5">
            <w:pPr>
              <w:jc w:val="center"/>
              <w:rPr>
                <w:sz w:val="16"/>
                <w:lang w:val="en-US"/>
              </w:rPr>
            </w:pPr>
          </w:p>
        </w:tc>
        <w:tc>
          <w:tcPr>
            <w:tcW w:w="2268" w:type="dxa"/>
            <w:vAlign w:val="center"/>
          </w:tcPr>
          <w:p w14:paraId="58953954" w14:textId="77777777" w:rsidR="00AE654E" w:rsidRPr="008441F8" w:rsidRDefault="00AE654E" w:rsidP="000165F5">
            <w:pPr>
              <w:jc w:val="center"/>
              <w:rPr>
                <w:i/>
                <w:sz w:val="16"/>
                <w:lang w:val="en-US"/>
              </w:rPr>
            </w:pPr>
            <w:r w:rsidRPr="008441F8">
              <w:rPr>
                <w:sz w:val="16"/>
                <w:lang w:val="en-US"/>
              </w:rPr>
              <w:t xml:space="preserve">11.6 </w:t>
            </w:r>
            <w:r w:rsidRPr="008441F8">
              <w:rPr>
                <w:rFonts w:cstheme="minorHAnsi"/>
                <w:sz w:val="16"/>
                <w:lang w:val="en-US"/>
              </w:rPr>
              <w:t>±</w:t>
            </w:r>
            <w:r w:rsidRPr="008441F8">
              <w:rPr>
                <w:sz w:val="16"/>
                <w:lang w:val="en-US"/>
              </w:rPr>
              <w:t xml:space="preserve"> 0.4 pinosylvin</w:t>
            </w:r>
          </w:p>
          <w:p w14:paraId="6FC51DC9" w14:textId="77777777" w:rsidR="00AE654E" w:rsidRPr="008441F8" w:rsidRDefault="00AE654E" w:rsidP="000165F5">
            <w:pPr>
              <w:jc w:val="center"/>
              <w:rPr>
                <w:sz w:val="16"/>
                <w:lang w:val="en-US"/>
              </w:rPr>
            </w:pPr>
            <w:r w:rsidRPr="008441F8">
              <w:rPr>
                <w:sz w:val="16"/>
                <w:lang w:val="en-US"/>
              </w:rPr>
              <w:t xml:space="preserve">2.26 </w:t>
            </w:r>
            <w:r w:rsidRPr="008441F8">
              <w:rPr>
                <w:rFonts w:cstheme="minorHAnsi"/>
                <w:sz w:val="16"/>
                <w:lang w:val="en-US"/>
              </w:rPr>
              <w:t>±</w:t>
            </w:r>
            <w:r w:rsidRPr="008441F8">
              <w:rPr>
                <w:sz w:val="16"/>
                <w:lang w:val="en-US"/>
              </w:rPr>
              <w:t xml:space="preserve"> 0.03 cinnamate</w:t>
            </w:r>
          </w:p>
        </w:tc>
        <w:tc>
          <w:tcPr>
            <w:tcW w:w="1701" w:type="dxa"/>
            <w:vAlign w:val="center"/>
          </w:tcPr>
          <w:p w14:paraId="781492CA" w14:textId="77777777" w:rsidR="00AE654E" w:rsidRPr="008441F8" w:rsidRDefault="00AE654E" w:rsidP="000165F5">
            <w:pPr>
              <w:jc w:val="center"/>
              <w:rPr>
                <w:sz w:val="16"/>
                <w:lang w:val="en-US"/>
              </w:rPr>
            </w:pPr>
            <w:r w:rsidRPr="008441F8">
              <w:rPr>
                <w:sz w:val="16"/>
                <w:lang w:val="en-US"/>
              </w:rPr>
              <w:t>After 47h</w:t>
            </w:r>
          </w:p>
        </w:tc>
      </w:tr>
      <w:tr w:rsidR="00AE654E" w:rsidRPr="008441F8" w14:paraId="5CB56354" w14:textId="77777777" w:rsidTr="005B7F65">
        <w:trPr>
          <w:trHeight w:val="205"/>
        </w:trPr>
        <w:tc>
          <w:tcPr>
            <w:tcW w:w="2122" w:type="dxa"/>
            <w:shd w:val="clear" w:color="auto" w:fill="auto"/>
            <w:vAlign w:val="center"/>
          </w:tcPr>
          <w:p w14:paraId="4B1E49D8"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III</w:t>
            </w:r>
          </w:p>
        </w:tc>
        <w:tc>
          <w:tcPr>
            <w:tcW w:w="1559" w:type="dxa"/>
            <w:vMerge/>
            <w:shd w:val="clear" w:color="auto" w:fill="auto"/>
            <w:vAlign w:val="center"/>
          </w:tcPr>
          <w:p w14:paraId="6403BC7B" w14:textId="77777777" w:rsidR="00AE654E" w:rsidRPr="008441F8" w:rsidRDefault="00AE654E" w:rsidP="000165F5">
            <w:pPr>
              <w:jc w:val="center"/>
              <w:rPr>
                <w:sz w:val="16"/>
                <w:lang w:val="en-US"/>
              </w:rPr>
            </w:pPr>
          </w:p>
        </w:tc>
        <w:tc>
          <w:tcPr>
            <w:tcW w:w="992" w:type="dxa"/>
            <w:shd w:val="clear" w:color="auto" w:fill="auto"/>
            <w:vAlign w:val="center"/>
          </w:tcPr>
          <w:p w14:paraId="7E62B2CA"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2B71F61B" w14:textId="77777777" w:rsidR="00AE654E" w:rsidRPr="008441F8" w:rsidRDefault="00AE654E" w:rsidP="000165F5">
            <w:pPr>
              <w:jc w:val="center"/>
              <w:rPr>
                <w:sz w:val="16"/>
                <w:lang w:val="en-US"/>
              </w:rPr>
            </w:pPr>
            <w:r w:rsidRPr="008441F8">
              <w:rPr>
                <w:sz w:val="16"/>
                <w:lang w:val="en-US"/>
              </w:rPr>
              <w:t>none</w:t>
            </w:r>
          </w:p>
        </w:tc>
        <w:tc>
          <w:tcPr>
            <w:tcW w:w="850" w:type="dxa"/>
            <w:shd w:val="clear" w:color="auto" w:fill="auto"/>
            <w:vAlign w:val="center"/>
          </w:tcPr>
          <w:p w14:paraId="4DFB3410"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390923E1" w14:textId="77777777" w:rsidR="00AE654E" w:rsidRPr="008441F8" w:rsidRDefault="00AE654E" w:rsidP="000165F5">
            <w:pPr>
              <w:jc w:val="center"/>
              <w:rPr>
                <w:sz w:val="16"/>
                <w:lang w:val="en-US"/>
              </w:rPr>
            </w:pPr>
          </w:p>
        </w:tc>
        <w:tc>
          <w:tcPr>
            <w:tcW w:w="2126" w:type="dxa"/>
            <w:shd w:val="clear" w:color="auto" w:fill="auto"/>
            <w:vAlign w:val="center"/>
          </w:tcPr>
          <w:p w14:paraId="2EB22EF4" w14:textId="77777777" w:rsidR="00AE654E" w:rsidRPr="008441F8" w:rsidRDefault="00AE654E" w:rsidP="000165F5">
            <w:pPr>
              <w:jc w:val="center"/>
              <w:rPr>
                <w:sz w:val="16"/>
                <w:lang w:val="en-US"/>
              </w:rPr>
            </w:pPr>
          </w:p>
        </w:tc>
        <w:tc>
          <w:tcPr>
            <w:tcW w:w="2268" w:type="dxa"/>
            <w:shd w:val="clear" w:color="auto" w:fill="auto"/>
            <w:vAlign w:val="center"/>
          </w:tcPr>
          <w:p w14:paraId="04C013AC" w14:textId="77777777" w:rsidR="00AE654E" w:rsidRPr="008441F8" w:rsidRDefault="00AE654E" w:rsidP="000165F5">
            <w:pPr>
              <w:jc w:val="center"/>
              <w:rPr>
                <w:i/>
                <w:sz w:val="16"/>
                <w:lang w:val="en-US"/>
              </w:rPr>
            </w:pPr>
            <w:r w:rsidRPr="008441F8">
              <w:rPr>
                <w:sz w:val="16"/>
                <w:lang w:val="en-US"/>
              </w:rPr>
              <w:t xml:space="preserve">12.3 </w:t>
            </w:r>
            <w:r w:rsidRPr="008441F8">
              <w:rPr>
                <w:rFonts w:cstheme="minorHAnsi"/>
                <w:sz w:val="16"/>
                <w:lang w:val="en-US"/>
              </w:rPr>
              <w:t>±</w:t>
            </w:r>
            <w:r w:rsidRPr="008441F8">
              <w:rPr>
                <w:sz w:val="16"/>
                <w:lang w:val="en-US"/>
              </w:rPr>
              <w:t xml:space="preserve"> 4.9 pinosylvin</w:t>
            </w:r>
          </w:p>
          <w:p w14:paraId="57BF5678" w14:textId="77777777" w:rsidR="00AE654E" w:rsidRPr="008441F8" w:rsidRDefault="00AE654E" w:rsidP="000165F5">
            <w:pPr>
              <w:jc w:val="center"/>
              <w:rPr>
                <w:sz w:val="16"/>
                <w:lang w:val="en-US"/>
              </w:rPr>
            </w:pPr>
            <w:r w:rsidRPr="008441F8">
              <w:rPr>
                <w:sz w:val="16"/>
                <w:lang w:val="en-US"/>
              </w:rPr>
              <w:t xml:space="preserve">0.035 </w:t>
            </w:r>
            <w:r w:rsidRPr="008441F8">
              <w:rPr>
                <w:rFonts w:cstheme="minorHAnsi"/>
                <w:sz w:val="16"/>
                <w:lang w:val="en-US"/>
              </w:rPr>
              <w:t>±</w:t>
            </w:r>
            <w:r w:rsidRPr="008441F8">
              <w:rPr>
                <w:sz w:val="16"/>
                <w:lang w:val="en-US"/>
              </w:rPr>
              <w:t xml:space="preserve"> 0.01 cinnamate</w:t>
            </w:r>
          </w:p>
        </w:tc>
        <w:tc>
          <w:tcPr>
            <w:tcW w:w="1701" w:type="dxa"/>
            <w:shd w:val="clear" w:color="auto" w:fill="auto"/>
            <w:vAlign w:val="center"/>
          </w:tcPr>
          <w:p w14:paraId="62652125" w14:textId="77777777" w:rsidR="00AE654E" w:rsidRPr="008441F8" w:rsidRDefault="00AE654E" w:rsidP="000165F5">
            <w:pPr>
              <w:jc w:val="center"/>
              <w:rPr>
                <w:sz w:val="16"/>
                <w:lang w:val="en-US"/>
              </w:rPr>
            </w:pPr>
            <w:r w:rsidRPr="008441F8">
              <w:rPr>
                <w:sz w:val="16"/>
                <w:lang w:val="en-US"/>
              </w:rPr>
              <w:t>Figure S15</w:t>
            </w:r>
          </w:p>
        </w:tc>
      </w:tr>
      <w:tr w:rsidR="00AE654E" w:rsidRPr="008441F8" w14:paraId="26AA8971" w14:textId="77777777" w:rsidTr="005B7F65">
        <w:trPr>
          <w:trHeight w:val="205"/>
        </w:trPr>
        <w:tc>
          <w:tcPr>
            <w:tcW w:w="2122" w:type="dxa"/>
            <w:shd w:val="clear" w:color="auto" w:fill="auto"/>
            <w:vAlign w:val="center"/>
          </w:tcPr>
          <w:p w14:paraId="35B07405"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III </w:t>
            </w:r>
            <w:r w:rsidRPr="008441F8">
              <w:rPr>
                <w:i/>
                <w:sz w:val="16"/>
                <w:lang w:val="en-US"/>
              </w:rPr>
              <w:t>aroF-1</w:t>
            </w:r>
            <w:r w:rsidRPr="008441F8">
              <w:rPr>
                <w:i/>
                <w:sz w:val="16"/>
                <w:vertAlign w:val="superscript"/>
                <w:lang w:val="en-US"/>
              </w:rPr>
              <w:t>P148L</w:t>
            </w:r>
          </w:p>
        </w:tc>
        <w:tc>
          <w:tcPr>
            <w:tcW w:w="1559" w:type="dxa"/>
            <w:vMerge/>
            <w:shd w:val="clear" w:color="auto" w:fill="auto"/>
            <w:vAlign w:val="center"/>
          </w:tcPr>
          <w:p w14:paraId="4D5FA9E0" w14:textId="77777777" w:rsidR="00AE654E" w:rsidRPr="008441F8" w:rsidRDefault="00AE654E" w:rsidP="000165F5">
            <w:pPr>
              <w:jc w:val="center"/>
              <w:rPr>
                <w:sz w:val="16"/>
                <w:lang w:val="en-US"/>
              </w:rPr>
            </w:pPr>
          </w:p>
        </w:tc>
        <w:tc>
          <w:tcPr>
            <w:tcW w:w="992" w:type="dxa"/>
            <w:shd w:val="clear" w:color="auto" w:fill="auto"/>
            <w:vAlign w:val="center"/>
          </w:tcPr>
          <w:p w14:paraId="6A04C9D8"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54C04AA5" w14:textId="77777777" w:rsidR="00AE654E" w:rsidRPr="008441F8" w:rsidRDefault="00AE654E" w:rsidP="000165F5">
            <w:pPr>
              <w:jc w:val="center"/>
              <w:rPr>
                <w:sz w:val="16"/>
                <w:lang w:val="en-US"/>
              </w:rPr>
            </w:pPr>
            <w:r w:rsidRPr="008441F8">
              <w:rPr>
                <w:sz w:val="16"/>
                <w:lang w:val="en-US"/>
              </w:rPr>
              <w:t>none</w:t>
            </w:r>
          </w:p>
        </w:tc>
        <w:tc>
          <w:tcPr>
            <w:tcW w:w="850" w:type="dxa"/>
            <w:shd w:val="clear" w:color="auto" w:fill="auto"/>
            <w:vAlign w:val="center"/>
          </w:tcPr>
          <w:p w14:paraId="6FFC7A59"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43EEA370" w14:textId="77777777" w:rsidR="00AE654E" w:rsidRPr="008441F8" w:rsidRDefault="00AE654E" w:rsidP="000165F5">
            <w:pPr>
              <w:jc w:val="center"/>
              <w:rPr>
                <w:sz w:val="16"/>
                <w:lang w:val="en-US"/>
              </w:rPr>
            </w:pPr>
          </w:p>
        </w:tc>
        <w:tc>
          <w:tcPr>
            <w:tcW w:w="2126" w:type="dxa"/>
            <w:shd w:val="clear" w:color="auto" w:fill="auto"/>
            <w:vAlign w:val="center"/>
          </w:tcPr>
          <w:p w14:paraId="3500EA50" w14:textId="77777777" w:rsidR="00AE654E" w:rsidRPr="008441F8" w:rsidRDefault="00AE654E" w:rsidP="000165F5">
            <w:pPr>
              <w:jc w:val="center"/>
              <w:rPr>
                <w:sz w:val="16"/>
                <w:lang w:val="en-US"/>
              </w:rPr>
            </w:pPr>
          </w:p>
        </w:tc>
        <w:tc>
          <w:tcPr>
            <w:tcW w:w="2268" w:type="dxa"/>
            <w:shd w:val="clear" w:color="auto" w:fill="auto"/>
            <w:vAlign w:val="center"/>
          </w:tcPr>
          <w:p w14:paraId="7F29C4BE" w14:textId="77777777" w:rsidR="00AE654E" w:rsidRPr="008441F8" w:rsidRDefault="00AE654E" w:rsidP="000165F5">
            <w:pPr>
              <w:jc w:val="center"/>
              <w:rPr>
                <w:i/>
                <w:sz w:val="16"/>
                <w:lang w:val="en-US"/>
              </w:rPr>
            </w:pPr>
            <w:r w:rsidRPr="008441F8">
              <w:rPr>
                <w:sz w:val="16"/>
                <w:lang w:val="en-US"/>
              </w:rPr>
              <w:t xml:space="preserve">13.6 </w:t>
            </w:r>
            <w:r w:rsidRPr="008441F8">
              <w:rPr>
                <w:rFonts w:cstheme="minorHAnsi"/>
                <w:sz w:val="16"/>
                <w:lang w:val="en-US"/>
              </w:rPr>
              <w:t>±</w:t>
            </w:r>
            <w:r w:rsidRPr="008441F8">
              <w:rPr>
                <w:sz w:val="16"/>
                <w:lang w:val="en-US"/>
              </w:rPr>
              <w:t xml:space="preserve"> 7 pinosylvin</w:t>
            </w:r>
          </w:p>
          <w:p w14:paraId="006DAA62" w14:textId="77777777" w:rsidR="00AE654E" w:rsidRPr="008441F8" w:rsidRDefault="00AE654E" w:rsidP="000165F5">
            <w:pPr>
              <w:jc w:val="center"/>
              <w:rPr>
                <w:sz w:val="16"/>
                <w:lang w:val="en-US"/>
              </w:rPr>
            </w:pPr>
            <w:r w:rsidRPr="008441F8">
              <w:rPr>
                <w:sz w:val="16"/>
                <w:lang w:val="en-US"/>
              </w:rPr>
              <w:t xml:space="preserve">0.1 </w:t>
            </w:r>
            <w:r w:rsidRPr="008441F8">
              <w:rPr>
                <w:rFonts w:cstheme="minorHAnsi"/>
                <w:sz w:val="16"/>
                <w:lang w:val="en-US"/>
              </w:rPr>
              <w:t>±</w:t>
            </w:r>
            <w:r w:rsidRPr="008441F8">
              <w:rPr>
                <w:sz w:val="16"/>
                <w:lang w:val="en-US"/>
              </w:rPr>
              <w:t xml:space="preserve"> 0.05 cinnamate</w:t>
            </w:r>
          </w:p>
        </w:tc>
        <w:tc>
          <w:tcPr>
            <w:tcW w:w="1701" w:type="dxa"/>
            <w:shd w:val="clear" w:color="auto" w:fill="auto"/>
            <w:vAlign w:val="center"/>
          </w:tcPr>
          <w:p w14:paraId="0A2E20BC" w14:textId="77777777" w:rsidR="00AE654E" w:rsidRPr="008441F8" w:rsidRDefault="00AE654E" w:rsidP="000165F5">
            <w:pPr>
              <w:jc w:val="center"/>
              <w:rPr>
                <w:sz w:val="16"/>
                <w:lang w:val="en-US"/>
              </w:rPr>
            </w:pPr>
            <w:r w:rsidRPr="008441F8">
              <w:rPr>
                <w:sz w:val="16"/>
                <w:lang w:val="en-US"/>
              </w:rPr>
              <w:t>Figure S15</w:t>
            </w:r>
          </w:p>
        </w:tc>
      </w:tr>
      <w:tr w:rsidR="00AE654E" w:rsidRPr="008441F8" w14:paraId="2A69283D" w14:textId="77777777" w:rsidTr="005B7F65">
        <w:trPr>
          <w:trHeight w:val="205"/>
        </w:trPr>
        <w:tc>
          <w:tcPr>
            <w:tcW w:w="2122" w:type="dxa"/>
            <w:shd w:val="clear" w:color="auto" w:fill="auto"/>
            <w:vAlign w:val="center"/>
          </w:tcPr>
          <w:p w14:paraId="77677B6B"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III</w:t>
            </w:r>
          </w:p>
        </w:tc>
        <w:tc>
          <w:tcPr>
            <w:tcW w:w="1559" w:type="dxa"/>
            <w:vMerge/>
            <w:shd w:val="clear" w:color="auto" w:fill="auto"/>
            <w:vAlign w:val="center"/>
          </w:tcPr>
          <w:p w14:paraId="57F6A561" w14:textId="77777777" w:rsidR="00AE654E" w:rsidRPr="008441F8" w:rsidRDefault="00AE654E" w:rsidP="000165F5">
            <w:pPr>
              <w:jc w:val="center"/>
              <w:rPr>
                <w:sz w:val="16"/>
                <w:lang w:val="en-US"/>
              </w:rPr>
            </w:pPr>
          </w:p>
        </w:tc>
        <w:tc>
          <w:tcPr>
            <w:tcW w:w="992" w:type="dxa"/>
            <w:shd w:val="clear" w:color="auto" w:fill="auto"/>
            <w:vAlign w:val="center"/>
          </w:tcPr>
          <w:p w14:paraId="2C3352E1"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47FF5702" w14:textId="77777777" w:rsidR="00AE654E" w:rsidRPr="008441F8" w:rsidRDefault="00AE654E" w:rsidP="000165F5">
            <w:pPr>
              <w:jc w:val="center"/>
              <w:rPr>
                <w:sz w:val="16"/>
                <w:lang w:val="en-US"/>
              </w:rPr>
            </w:pPr>
            <w:r w:rsidRPr="008441F8">
              <w:rPr>
                <w:sz w:val="16"/>
                <w:lang w:val="en-US"/>
              </w:rPr>
              <w:t>0.5 mM cinnamate</w:t>
            </w:r>
          </w:p>
        </w:tc>
        <w:tc>
          <w:tcPr>
            <w:tcW w:w="850" w:type="dxa"/>
            <w:shd w:val="clear" w:color="auto" w:fill="auto"/>
            <w:vAlign w:val="center"/>
          </w:tcPr>
          <w:p w14:paraId="29B9B654"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54947CBF" w14:textId="77777777" w:rsidR="00AE654E" w:rsidRPr="008441F8" w:rsidRDefault="00AE654E" w:rsidP="000165F5">
            <w:pPr>
              <w:jc w:val="center"/>
              <w:rPr>
                <w:sz w:val="16"/>
                <w:lang w:val="en-US"/>
              </w:rPr>
            </w:pPr>
          </w:p>
        </w:tc>
        <w:tc>
          <w:tcPr>
            <w:tcW w:w="2126" w:type="dxa"/>
            <w:shd w:val="clear" w:color="auto" w:fill="auto"/>
            <w:vAlign w:val="center"/>
          </w:tcPr>
          <w:p w14:paraId="5F82891F" w14:textId="77777777" w:rsidR="00AE654E" w:rsidRPr="008441F8" w:rsidRDefault="00AE654E" w:rsidP="000165F5">
            <w:pPr>
              <w:jc w:val="center"/>
              <w:rPr>
                <w:sz w:val="16"/>
                <w:lang w:val="en-US"/>
              </w:rPr>
            </w:pPr>
          </w:p>
        </w:tc>
        <w:tc>
          <w:tcPr>
            <w:tcW w:w="2268" w:type="dxa"/>
            <w:shd w:val="clear" w:color="auto" w:fill="auto"/>
            <w:vAlign w:val="center"/>
          </w:tcPr>
          <w:p w14:paraId="2DD34D05" w14:textId="77777777" w:rsidR="00AE654E" w:rsidRPr="008441F8" w:rsidRDefault="00AE654E" w:rsidP="000165F5">
            <w:pPr>
              <w:jc w:val="center"/>
              <w:rPr>
                <w:i/>
                <w:sz w:val="16"/>
                <w:lang w:val="en-US"/>
              </w:rPr>
            </w:pPr>
            <w:r w:rsidRPr="008441F8">
              <w:rPr>
                <w:sz w:val="16"/>
                <w:lang w:val="en-US"/>
              </w:rPr>
              <w:t xml:space="preserve">19.1 </w:t>
            </w:r>
            <w:r w:rsidRPr="008441F8">
              <w:rPr>
                <w:rFonts w:cstheme="minorHAnsi"/>
                <w:sz w:val="16"/>
                <w:lang w:val="en-US"/>
              </w:rPr>
              <w:t>±</w:t>
            </w:r>
            <w:r w:rsidRPr="008441F8">
              <w:rPr>
                <w:sz w:val="16"/>
                <w:lang w:val="en-US"/>
              </w:rPr>
              <w:t xml:space="preserve"> 9.5 pinosylvin</w:t>
            </w:r>
          </w:p>
          <w:p w14:paraId="1E3E7BBB" w14:textId="77777777" w:rsidR="00AE654E" w:rsidRPr="008441F8" w:rsidRDefault="00AE654E" w:rsidP="000165F5">
            <w:pPr>
              <w:jc w:val="center"/>
              <w:rPr>
                <w:sz w:val="16"/>
                <w:lang w:val="en-US"/>
              </w:rPr>
            </w:pPr>
            <w:r w:rsidRPr="008441F8">
              <w:rPr>
                <w:sz w:val="16"/>
                <w:lang w:val="en-US"/>
              </w:rPr>
              <w:t xml:space="preserve">0.24 </w:t>
            </w:r>
            <w:r w:rsidRPr="008441F8">
              <w:rPr>
                <w:rFonts w:cstheme="minorHAnsi"/>
                <w:sz w:val="16"/>
                <w:lang w:val="en-US"/>
              </w:rPr>
              <w:t>±</w:t>
            </w:r>
            <w:r w:rsidRPr="008441F8">
              <w:rPr>
                <w:sz w:val="16"/>
                <w:lang w:val="en-US"/>
              </w:rPr>
              <w:t xml:space="preserve"> 0.02 cinnamate</w:t>
            </w:r>
          </w:p>
        </w:tc>
        <w:tc>
          <w:tcPr>
            <w:tcW w:w="1701" w:type="dxa"/>
            <w:shd w:val="clear" w:color="auto" w:fill="auto"/>
            <w:vAlign w:val="center"/>
          </w:tcPr>
          <w:p w14:paraId="5E1D7046" w14:textId="77777777" w:rsidR="00AE654E" w:rsidRPr="008441F8" w:rsidRDefault="00AE654E" w:rsidP="000165F5">
            <w:pPr>
              <w:jc w:val="center"/>
              <w:rPr>
                <w:sz w:val="16"/>
                <w:lang w:val="en-US"/>
              </w:rPr>
            </w:pPr>
            <w:r w:rsidRPr="008441F8">
              <w:rPr>
                <w:sz w:val="16"/>
                <w:lang w:val="en-US"/>
              </w:rPr>
              <w:t>Figure S15</w:t>
            </w:r>
          </w:p>
        </w:tc>
      </w:tr>
      <w:tr w:rsidR="00AE654E" w:rsidRPr="008441F8" w14:paraId="72D3BCAF" w14:textId="77777777" w:rsidTr="005B7F65">
        <w:trPr>
          <w:trHeight w:val="205"/>
        </w:trPr>
        <w:tc>
          <w:tcPr>
            <w:tcW w:w="2122" w:type="dxa"/>
            <w:shd w:val="clear" w:color="auto" w:fill="auto"/>
            <w:vAlign w:val="center"/>
          </w:tcPr>
          <w:p w14:paraId="1F397AD6"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III </w:t>
            </w:r>
            <w:r w:rsidRPr="008441F8">
              <w:rPr>
                <w:i/>
                <w:sz w:val="16"/>
                <w:lang w:val="en-US"/>
              </w:rPr>
              <w:t>aroF-1</w:t>
            </w:r>
            <w:r w:rsidRPr="008441F8">
              <w:rPr>
                <w:i/>
                <w:sz w:val="16"/>
                <w:vertAlign w:val="superscript"/>
                <w:lang w:val="en-US"/>
              </w:rPr>
              <w:t>P148L</w:t>
            </w:r>
          </w:p>
        </w:tc>
        <w:tc>
          <w:tcPr>
            <w:tcW w:w="1559" w:type="dxa"/>
            <w:vMerge/>
            <w:shd w:val="clear" w:color="auto" w:fill="auto"/>
            <w:vAlign w:val="center"/>
          </w:tcPr>
          <w:p w14:paraId="7B2A32F0" w14:textId="77777777" w:rsidR="00AE654E" w:rsidRPr="008441F8" w:rsidRDefault="00AE654E" w:rsidP="000165F5">
            <w:pPr>
              <w:jc w:val="center"/>
              <w:rPr>
                <w:sz w:val="16"/>
                <w:lang w:val="en-US"/>
              </w:rPr>
            </w:pPr>
          </w:p>
        </w:tc>
        <w:tc>
          <w:tcPr>
            <w:tcW w:w="992" w:type="dxa"/>
            <w:shd w:val="clear" w:color="auto" w:fill="auto"/>
            <w:vAlign w:val="center"/>
          </w:tcPr>
          <w:p w14:paraId="1CF1212B"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69922B63" w14:textId="77777777" w:rsidR="00AE654E" w:rsidRPr="008441F8" w:rsidRDefault="00AE654E" w:rsidP="000165F5">
            <w:pPr>
              <w:jc w:val="center"/>
              <w:rPr>
                <w:sz w:val="16"/>
                <w:lang w:val="en-US"/>
              </w:rPr>
            </w:pPr>
            <w:r w:rsidRPr="008441F8">
              <w:rPr>
                <w:sz w:val="16"/>
                <w:lang w:val="en-US"/>
              </w:rPr>
              <w:t>0.5 mM cinnamate</w:t>
            </w:r>
          </w:p>
        </w:tc>
        <w:tc>
          <w:tcPr>
            <w:tcW w:w="850" w:type="dxa"/>
            <w:shd w:val="clear" w:color="auto" w:fill="auto"/>
            <w:vAlign w:val="center"/>
          </w:tcPr>
          <w:p w14:paraId="27975AB8"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748011F1" w14:textId="77777777" w:rsidR="00AE654E" w:rsidRPr="008441F8" w:rsidRDefault="00AE654E" w:rsidP="000165F5">
            <w:pPr>
              <w:jc w:val="center"/>
              <w:rPr>
                <w:sz w:val="16"/>
                <w:lang w:val="en-US"/>
              </w:rPr>
            </w:pPr>
          </w:p>
        </w:tc>
        <w:tc>
          <w:tcPr>
            <w:tcW w:w="2126" w:type="dxa"/>
            <w:shd w:val="clear" w:color="auto" w:fill="auto"/>
            <w:vAlign w:val="center"/>
          </w:tcPr>
          <w:p w14:paraId="703D473B" w14:textId="77777777" w:rsidR="00AE654E" w:rsidRPr="008441F8" w:rsidRDefault="00AE654E" w:rsidP="000165F5">
            <w:pPr>
              <w:jc w:val="center"/>
              <w:rPr>
                <w:sz w:val="16"/>
                <w:lang w:val="en-US"/>
              </w:rPr>
            </w:pPr>
          </w:p>
        </w:tc>
        <w:tc>
          <w:tcPr>
            <w:tcW w:w="2268" w:type="dxa"/>
            <w:shd w:val="clear" w:color="auto" w:fill="auto"/>
            <w:vAlign w:val="center"/>
          </w:tcPr>
          <w:p w14:paraId="79E285DC" w14:textId="77777777" w:rsidR="00AE654E" w:rsidRPr="008441F8" w:rsidRDefault="00AE654E" w:rsidP="000165F5">
            <w:pPr>
              <w:jc w:val="center"/>
              <w:rPr>
                <w:i/>
                <w:sz w:val="16"/>
                <w:lang w:val="en-US"/>
              </w:rPr>
            </w:pPr>
            <w:r w:rsidRPr="008441F8">
              <w:rPr>
                <w:sz w:val="16"/>
                <w:lang w:val="en-US"/>
              </w:rPr>
              <w:t xml:space="preserve">18.7 </w:t>
            </w:r>
            <w:r w:rsidRPr="008441F8">
              <w:rPr>
                <w:rFonts w:cstheme="minorHAnsi"/>
                <w:sz w:val="16"/>
                <w:lang w:val="en-US"/>
              </w:rPr>
              <w:t>±</w:t>
            </w:r>
            <w:r w:rsidRPr="008441F8">
              <w:rPr>
                <w:sz w:val="16"/>
                <w:lang w:val="en-US"/>
              </w:rPr>
              <w:t xml:space="preserve"> 9.5 pinosylvin</w:t>
            </w:r>
          </w:p>
          <w:p w14:paraId="02364AA0" w14:textId="77777777" w:rsidR="00AE654E" w:rsidRPr="008441F8" w:rsidRDefault="00AE654E" w:rsidP="000165F5">
            <w:pPr>
              <w:jc w:val="center"/>
              <w:rPr>
                <w:sz w:val="16"/>
                <w:lang w:val="en-US"/>
              </w:rPr>
            </w:pPr>
            <w:r w:rsidRPr="008441F8">
              <w:rPr>
                <w:sz w:val="16"/>
                <w:lang w:val="en-US"/>
              </w:rPr>
              <w:t xml:space="preserve">0.35 </w:t>
            </w:r>
            <w:r w:rsidRPr="008441F8">
              <w:rPr>
                <w:rFonts w:cstheme="minorHAnsi"/>
                <w:sz w:val="16"/>
                <w:lang w:val="en-US"/>
              </w:rPr>
              <w:t>±</w:t>
            </w:r>
            <w:r w:rsidRPr="008441F8">
              <w:rPr>
                <w:sz w:val="16"/>
                <w:lang w:val="en-US"/>
              </w:rPr>
              <w:t xml:space="preserve"> 0.08 cinnamate</w:t>
            </w:r>
          </w:p>
        </w:tc>
        <w:tc>
          <w:tcPr>
            <w:tcW w:w="1701" w:type="dxa"/>
            <w:shd w:val="clear" w:color="auto" w:fill="auto"/>
            <w:vAlign w:val="center"/>
          </w:tcPr>
          <w:p w14:paraId="77D99FC8" w14:textId="77777777" w:rsidR="00AE654E" w:rsidRPr="008441F8" w:rsidRDefault="00AE654E" w:rsidP="000165F5">
            <w:pPr>
              <w:jc w:val="center"/>
              <w:rPr>
                <w:sz w:val="16"/>
                <w:lang w:val="en-US"/>
              </w:rPr>
            </w:pPr>
            <w:r w:rsidRPr="008441F8">
              <w:rPr>
                <w:sz w:val="16"/>
                <w:lang w:val="en-US"/>
              </w:rPr>
              <w:t>Figure S15</w:t>
            </w:r>
          </w:p>
        </w:tc>
      </w:tr>
      <w:tr w:rsidR="00AE654E" w:rsidRPr="008441F8" w14:paraId="207D6F29" w14:textId="77777777" w:rsidTr="005B7F65">
        <w:trPr>
          <w:trHeight w:val="205"/>
        </w:trPr>
        <w:tc>
          <w:tcPr>
            <w:tcW w:w="2122" w:type="dxa"/>
            <w:shd w:val="clear" w:color="auto" w:fill="auto"/>
            <w:vAlign w:val="center"/>
          </w:tcPr>
          <w:p w14:paraId="3FFA6E40"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III</w:t>
            </w:r>
          </w:p>
        </w:tc>
        <w:tc>
          <w:tcPr>
            <w:tcW w:w="1559" w:type="dxa"/>
            <w:vMerge/>
            <w:shd w:val="clear" w:color="auto" w:fill="auto"/>
            <w:vAlign w:val="center"/>
          </w:tcPr>
          <w:p w14:paraId="05645DA7" w14:textId="77777777" w:rsidR="00AE654E" w:rsidRPr="008441F8" w:rsidRDefault="00AE654E" w:rsidP="000165F5">
            <w:pPr>
              <w:jc w:val="center"/>
              <w:rPr>
                <w:sz w:val="16"/>
                <w:lang w:val="en-US"/>
              </w:rPr>
            </w:pPr>
          </w:p>
        </w:tc>
        <w:tc>
          <w:tcPr>
            <w:tcW w:w="992" w:type="dxa"/>
            <w:shd w:val="clear" w:color="auto" w:fill="auto"/>
            <w:vAlign w:val="center"/>
          </w:tcPr>
          <w:p w14:paraId="76697F52"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48465AB5" w14:textId="77777777" w:rsidR="00AE654E" w:rsidRPr="008441F8" w:rsidRDefault="00AE654E" w:rsidP="000165F5">
            <w:pPr>
              <w:jc w:val="center"/>
              <w:rPr>
                <w:sz w:val="16"/>
                <w:lang w:val="en-US"/>
              </w:rPr>
            </w:pPr>
            <w:r w:rsidRPr="008441F8">
              <w:rPr>
                <w:sz w:val="16"/>
                <w:lang w:val="en-US"/>
              </w:rPr>
              <w:t>0.5 mM phenylalanine</w:t>
            </w:r>
          </w:p>
        </w:tc>
        <w:tc>
          <w:tcPr>
            <w:tcW w:w="850" w:type="dxa"/>
            <w:shd w:val="clear" w:color="auto" w:fill="auto"/>
            <w:vAlign w:val="center"/>
          </w:tcPr>
          <w:p w14:paraId="4E12BD93"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3FFF98DA" w14:textId="77777777" w:rsidR="00AE654E" w:rsidRPr="008441F8" w:rsidRDefault="00AE654E" w:rsidP="000165F5">
            <w:pPr>
              <w:jc w:val="center"/>
              <w:rPr>
                <w:sz w:val="16"/>
                <w:lang w:val="en-US"/>
              </w:rPr>
            </w:pPr>
          </w:p>
        </w:tc>
        <w:tc>
          <w:tcPr>
            <w:tcW w:w="2126" w:type="dxa"/>
            <w:shd w:val="clear" w:color="auto" w:fill="auto"/>
            <w:vAlign w:val="center"/>
          </w:tcPr>
          <w:p w14:paraId="4B97C4FA" w14:textId="77777777" w:rsidR="00AE654E" w:rsidRPr="008441F8" w:rsidRDefault="00AE654E" w:rsidP="000165F5">
            <w:pPr>
              <w:jc w:val="center"/>
              <w:rPr>
                <w:sz w:val="16"/>
                <w:lang w:val="en-US"/>
              </w:rPr>
            </w:pPr>
          </w:p>
        </w:tc>
        <w:tc>
          <w:tcPr>
            <w:tcW w:w="2268" w:type="dxa"/>
            <w:shd w:val="clear" w:color="auto" w:fill="auto"/>
            <w:vAlign w:val="center"/>
          </w:tcPr>
          <w:p w14:paraId="186C863C" w14:textId="77777777" w:rsidR="00AE654E" w:rsidRPr="008441F8" w:rsidRDefault="00AE654E" w:rsidP="000165F5">
            <w:pPr>
              <w:jc w:val="center"/>
              <w:rPr>
                <w:i/>
                <w:sz w:val="16"/>
                <w:lang w:val="en-US"/>
              </w:rPr>
            </w:pPr>
            <w:r w:rsidRPr="008441F8">
              <w:rPr>
                <w:sz w:val="16"/>
                <w:lang w:val="en-US"/>
              </w:rPr>
              <w:t xml:space="preserve">15.2 </w:t>
            </w:r>
            <w:r w:rsidRPr="008441F8">
              <w:rPr>
                <w:rFonts w:cstheme="minorHAnsi"/>
                <w:sz w:val="16"/>
                <w:lang w:val="en-US"/>
              </w:rPr>
              <w:t>±</w:t>
            </w:r>
            <w:r w:rsidRPr="008441F8">
              <w:rPr>
                <w:sz w:val="16"/>
                <w:lang w:val="en-US"/>
              </w:rPr>
              <w:t xml:space="preserve"> 6.6 pinosylvin</w:t>
            </w:r>
          </w:p>
          <w:p w14:paraId="1666765A" w14:textId="77777777" w:rsidR="00AE654E" w:rsidRPr="008441F8" w:rsidRDefault="00AE654E" w:rsidP="000165F5">
            <w:pPr>
              <w:jc w:val="center"/>
              <w:rPr>
                <w:sz w:val="16"/>
                <w:lang w:val="en-US"/>
              </w:rPr>
            </w:pPr>
            <w:r w:rsidRPr="008441F8">
              <w:rPr>
                <w:sz w:val="16"/>
                <w:lang w:val="en-US"/>
              </w:rPr>
              <w:t xml:space="preserve">0.156 </w:t>
            </w:r>
            <w:r w:rsidRPr="008441F8">
              <w:rPr>
                <w:rFonts w:cstheme="minorHAnsi"/>
                <w:sz w:val="16"/>
                <w:lang w:val="en-US"/>
              </w:rPr>
              <w:t>±</w:t>
            </w:r>
            <w:r w:rsidRPr="008441F8">
              <w:rPr>
                <w:sz w:val="16"/>
                <w:lang w:val="en-US"/>
              </w:rPr>
              <w:t xml:space="preserve"> 0.03 cinnamate</w:t>
            </w:r>
          </w:p>
        </w:tc>
        <w:tc>
          <w:tcPr>
            <w:tcW w:w="1701" w:type="dxa"/>
            <w:shd w:val="clear" w:color="auto" w:fill="auto"/>
            <w:vAlign w:val="center"/>
          </w:tcPr>
          <w:p w14:paraId="73D72A44" w14:textId="77777777" w:rsidR="00AE654E" w:rsidRPr="008441F8" w:rsidRDefault="00AE654E" w:rsidP="000165F5">
            <w:pPr>
              <w:jc w:val="center"/>
              <w:rPr>
                <w:sz w:val="16"/>
                <w:lang w:val="en-US"/>
              </w:rPr>
            </w:pPr>
            <w:r w:rsidRPr="008441F8">
              <w:rPr>
                <w:sz w:val="16"/>
                <w:lang w:val="en-US"/>
              </w:rPr>
              <w:t>Figure S15</w:t>
            </w:r>
          </w:p>
        </w:tc>
      </w:tr>
      <w:tr w:rsidR="00AE654E" w:rsidRPr="008441F8" w14:paraId="03321E07" w14:textId="77777777" w:rsidTr="005B7F65">
        <w:trPr>
          <w:trHeight w:val="205"/>
        </w:trPr>
        <w:tc>
          <w:tcPr>
            <w:tcW w:w="2122" w:type="dxa"/>
            <w:shd w:val="clear" w:color="auto" w:fill="auto"/>
            <w:vAlign w:val="center"/>
          </w:tcPr>
          <w:p w14:paraId="071E4680"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III </w:t>
            </w:r>
            <w:r w:rsidRPr="008441F8">
              <w:rPr>
                <w:i/>
                <w:sz w:val="16"/>
                <w:lang w:val="en-US"/>
              </w:rPr>
              <w:t>aroF-1</w:t>
            </w:r>
            <w:r w:rsidRPr="008441F8">
              <w:rPr>
                <w:i/>
                <w:sz w:val="16"/>
                <w:vertAlign w:val="superscript"/>
                <w:lang w:val="en-US"/>
              </w:rPr>
              <w:t>P148L</w:t>
            </w:r>
          </w:p>
        </w:tc>
        <w:tc>
          <w:tcPr>
            <w:tcW w:w="1559" w:type="dxa"/>
            <w:vMerge/>
            <w:shd w:val="clear" w:color="auto" w:fill="auto"/>
            <w:vAlign w:val="center"/>
          </w:tcPr>
          <w:p w14:paraId="2F833E5E" w14:textId="77777777" w:rsidR="00AE654E" w:rsidRPr="008441F8" w:rsidRDefault="00AE654E" w:rsidP="000165F5">
            <w:pPr>
              <w:jc w:val="center"/>
              <w:rPr>
                <w:sz w:val="16"/>
                <w:lang w:val="en-US"/>
              </w:rPr>
            </w:pPr>
          </w:p>
        </w:tc>
        <w:tc>
          <w:tcPr>
            <w:tcW w:w="992" w:type="dxa"/>
            <w:shd w:val="clear" w:color="auto" w:fill="auto"/>
            <w:vAlign w:val="center"/>
          </w:tcPr>
          <w:p w14:paraId="58FC79E2"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68DCB5DB" w14:textId="77777777" w:rsidR="00AE654E" w:rsidRPr="008441F8" w:rsidRDefault="00AE654E" w:rsidP="000165F5">
            <w:pPr>
              <w:jc w:val="center"/>
              <w:rPr>
                <w:sz w:val="16"/>
                <w:lang w:val="en-US"/>
              </w:rPr>
            </w:pPr>
            <w:r w:rsidRPr="008441F8">
              <w:rPr>
                <w:sz w:val="16"/>
                <w:lang w:val="en-US"/>
              </w:rPr>
              <w:t>0.5 mM phenylalanine</w:t>
            </w:r>
          </w:p>
        </w:tc>
        <w:tc>
          <w:tcPr>
            <w:tcW w:w="850" w:type="dxa"/>
            <w:shd w:val="clear" w:color="auto" w:fill="auto"/>
            <w:vAlign w:val="center"/>
          </w:tcPr>
          <w:p w14:paraId="76397BD4"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16507C17" w14:textId="77777777" w:rsidR="00AE654E" w:rsidRPr="008441F8" w:rsidRDefault="00AE654E" w:rsidP="000165F5">
            <w:pPr>
              <w:jc w:val="center"/>
              <w:rPr>
                <w:sz w:val="16"/>
                <w:lang w:val="en-US"/>
              </w:rPr>
            </w:pPr>
          </w:p>
        </w:tc>
        <w:tc>
          <w:tcPr>
            <w:tcW w:w="2126" w:type="dxa"/>
            <w:shd w:val="clear" w:color="auto" w:fill="auto"/>
            <w:vAlign w:val="center"/>
          </w:tcPr>
          <w:p w14:paraId="28B52C70" w14:textId="77777777" w:rsidR="00AE654E" w:rsidRPr="008441F8" w:rsidRDefault="00AE654E" w:rsidP="000165F5">
            <w:pPr>
              <w:jc w:val="center"/>
              <w:rPr>
                <w:sz w:val="16"/>
                <w:lang w:val="en-US"/>
              </w:rPr>
            </w:pPr>
          </w:p>
        </w:tc>
        <w:tc>
          <w:tcPr>
            <w:tcW w:w="2268" w:type="dxa"/>
            <w:shd w:val="clear" w:color="auto" w:fill="auto"/>
            <w:vAlign w:val="center"/>
          </w:tcPr>
          <w:p w14:paraId="4976935D" w14:textId="77777777" w:rsidR="00AE654E" w:rsidRPr="008441F8" w:rsidRDefault="00AE654E" w:rsidP="000165F5">
            <w:pPr>
              <w:jc w:val="center"/>
              <w:rPr>
                <w:i/>
                <w:sz w:val="16"/>
                <w:lang w:val="en-US"/>
              </w:rPr>
            </w:pPr>
            <w:r w:rsidRPr="008441F8">
              <w:rPr>
                <w:sz w:val="16"/>
                <w:lang w:val="en-US"/>
              </w:rPr>
              <w:t xml:space="preserve">18.5 </w:t>
            </w:r>
            <w:r w:rsidRPr="008441F8">
              <w:rPr>
                <w:rFonts w:cstheme="minorHAnsi"/>
                <w:sz w:val="16"/>
                <w:lang w:val="en-US"/>
              </w:rPr>
              <w:t>±</w:t>
            </w:r>
            <w:r w:rsidRPr="008441F8">
              <w:rPr>
                <w:sz w:val="16"/>
                <w:lang w:val="en-US"/>
              </w:rPr>
              <w:t xml:space="preserve"> 8.6 pinosylvin</w:t>
            </w:r>
          </w:p>
          <w:p w14:paraId="650025FC" w14:textId="77777777" w:rsidR="00AE654E" w:rsidRPr="008441F8" w:rsidRDefault="00AE654E" w:rsidP="000165F5">
            <w:pPr>
              <w:jc w:val="center"/>
              <w:rPr>
                <w:sz w:val="16"/>
                <w:lang w:val="en-US"/>
              </w:rPr>
            </w:pPr>
            <w:r w:rsidRPr="008441F8">
              <w:rPr>
                <w:sz w:val="16"/>
                <w:lang w:val="en-US"/>
              </w:rPr>
              <w:t xml:space="preserve">0.17 </w:t>
            </w:r>
            <w:r w:rsidRPr="008441F8">
              <w:rPr>
                <w:rFonts w:cstheme="minorHAnsi"/>
                <w:sz w:val="16"/>
                <w:lang w:val="en-US"/>
              </w:rPr>
              <w:t>±</w:t>
            </w:r>
            <w:r w:rsidRPr="008441F8">
              <w:rPr>
                <w:sz w:val="16"/>
                <w:lang w:val="en-US"/>
              </w:rPr>
              <w:t xml:space="preserve"> 0.03 cinnamate</w:t>
            </w:r>
          </w:p>
        </w:tc>
        <w:tc>
          <w:tcPr>
            <w:tcW w:w="1701" w:type="dxa"/>
            <w:shd w:val="clear" w:color="auto" w:fill="auto"/>
            <w:vAlign w:val="center"/>
          </w:tcPr>
          <w:p w14:paraId="51BE0E29" w14:textId="77777777" w:rsidR="00AE654E" w:rsidRPr="008441F8" w:rsidRDefault="00AE654E" w:rsidP="000165F5">
            <w:pPr>
              <w:jc w:val="center"/>
              <w:rPr>
                <w:sz w:val="16"/>
                <w:lang w:val="en-US"/>
              </w:rPr>
            </w:pPr>
            <w:r w:rsidRPr="008441F8">
              <w:rPr>
                <w:sz w:val="16"/>
                <w:lang w:val="en-US"/>
              </w:rPr>
              <w:t>Figure S15</w:t>
            </w:r>
          </w:p>
        </w:tc>
      </w:tr>
      <w:tr w:rsidR="00AE654E" w:rsidRPr="008441F8" w14:paraId="1167FDCD" w14:textId="77777777" w:rsidTr="005B7F65">
        <w:trPr>
          <w:trHeight w:val="205"/>
        </w:trPr>
        <w:tc>
          <w:tcPr>
            <w:tcW w:w="2122" w:type="dxa"/>
            <w:shd w:val="clear" w:color="auto" w:fill="auto"/>
            <w:vAlign w:val="center"/>
          </w:tcPr>
          <w:p w14:paraId="34B6B1EF"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III</w:t>
            </w:r>
          </w:p>
        </w:tc>
        <w:tc>
          <w:tcPr>
            <w:tcW w:w="1559" w:type="dxa"/>
            <w:vMerge w:val="restart"/>
            <w:shd w:val="clear" w:color="auto" w:fill="auto"/>
            <w:vAlign w:val="center"/>
          </w:tcPr>
          <w:p w14:paraId="5FD4EAED" w14:textId="77777777" w:rsidR="00AE654E" w:rsidRPr="008441F8" w:rsidRDefault="00AE654E" w:rsidP="000165F5">
            <w:pPr>
              <w:jc w:val="center"/>
              <w:rPr>
                <w:i/>
                <w:sz w:val="16"/>
                <w:lang w:val="en-US"/>
              </w:rPr>
            </w:pPr>
            <w:r w:rsidRPr="008441F8">
              <w:rPr>
                <w:i/>
                <w:sz w:val="16"/>
                <w:lang w:val="en-US"/>
              </w:rPr>
              <w:t>P</w:t>
            </w:r>
            <w:r w:rsidRPr="008441F8">
              <w:rPr>
                <w:i/>
                <w:sz w:val="16"/>
                <w:vertAlign w:val="subscript"/>
                <w:lang w:val="en-US"/>
              </w:rPr>
              <w:t>14g</w:t>
            </w:r>
            <w:r w:rsidRPr="008441F8">
              <w:rPr>
                <w:i/>
                <w:sz w:val="16"/>
                <w:lang w:val="en-US"/>
              </w:rPr>
              <w:t>-his.AhSTS-Sc4CL</w:t>
            </w:r>
            <w:r w:rsidRPr="008441F8">
              <w:rPr>
                <w:rFonts w:cstheme="minorHAnsi"/>
                <w:i/>
                <w:color w:val="000000" w:themeColor="text1"/>
                <w:sz w:val="18"/>
                <w:szCs w:val="18"/>
                <w:vertAlign w:val="superscript"/>
                <w:lang w:val="en-US"/>
              </w:rPr>
              <w:t>A294G</w:t>
            </w:r>
            <w:r w:rsidRPr="008441F8">
              <w:rPr>
                <w:i/>
                <w:sz w:val="16"/>
                <w:lang w:val="en-US"/>
              </w:rPr>
              <w:t>-StsTAL</w:t>
            </w:r>
          </w:p>
        </w:tc>
        <w:tc>
          <w:tcPr>
            <w:tcW w:w="992" w:type="dxa"/>
            <w:shd w:val="clear" w:color="auto" w:fill="auto"/>
            <w:vAlign w:val="center"/>
          </w:tcPr>
          <w:p w14:paraId="0645736C"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3169AA3C" w14:textId="77777777" w:rsidR="00AE654E" w:rsidRPr="008441F8" w:rsidRDefault="00AE654E" w:rsidP="000165F5">
            <w:pPr>
              <w:jc w:val="center"/>
              <w:rPr>
                <w:sz w:val="16"/>
                <w:lang w:val="en-US"/>
              </w:rPr>
            </w:pPr>
            <w:r w:rsidRPr="008441F8">
              <w:rPr>
                <w:sz w:val="16"/>
                <w:lang w:val="en-US"/>
              </w:rPr>
              <w:t>none</w:t>
            </w:r>
          </w:p>
        </w:tc>
        <w:tc>
          <w:tcPr>
            <w:tcW w:w="850" w:type="dxa"/>
            <w:shd w:val="clear" w:color="auto" w:fill="auto"/>
            <w:vAlign w:val="center"/>
          </w:tcPr>
          <w:p w14:paraId="3DB49BE2"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54CD1002" w14:textId="77777777" w:rsidR="00AE654E" w:rsidRPr="008441F8" w:rsidRDefault="00AE654E" w:rsidP="000165F5">
            <w:pPr>
              <w:jc w:val="center"/>
              <w:rPr>
                <w:sz w:val="16"/>
                <w:lang w:val="en-US"/>
              </w:rPr>
            </w:pPr>
          </w:p>
        </w:tc>
        <w:tc>
          <w:tcPr>
            <w:tcW w:w="2126" w:type="dxa"/>
            <w:shd w:val="clear" w:color="auto" w:fill="auto"/>
            <w:vAlign w:val="center"/>
          </w:tcPr>
          <w:p w14:paraId="59EBED93" w14:textId="77777777" w:rsidR="00AE654E" w:rsidRPr="008441F8" w:rsidRDefault="00AE654E" w:rsidP="000165F5">
            <w:pPr>
              <w:jc w:val="center"/>
              <w:rPr>
                <w:sz w:val="16"/>
                <w:lang w:val="en-US"/>
              </w:rPr>
            </w:pPr>
          </w:p>
        </w:tc>
        <w:tc>
          <w:tcPr>
            <w:tcW w:w="2268" w:type="dxa"/>
            <w:shd w:val="clear" w:color="auto" w:fill="auto"/>
            <w:vAlign w:val="center"/>
          </w:tcPr>
          <w:p w14:paraId="4B05F9DE" w14:textId="77777777" w:rsidR="00AE654E" w:rsidRPr="008441F8" w:rsidRDefault="00AE654E" w:rsidP="000165F5">
            <w:pPr>
              <w:jc w:val="center"/>
              <w:rPr>
                <w:sz w:val="16"/>
                <w:lang w:val="en-US"/>
              </w:rPr>
            </w:pPr>
            <w:r w:rsidRPr="008441F8">
              <w:rPr>
                <w:sz w:val="16"/>
                <w:lang w:val="en-US"/>
              </w:rPr>
              <w:t xml:space="preserve">3.8 </w:t>
            </w:r>
            <w:r w:rsidRPr="008441F8">
              <w:rPr>
                <w:rFonts w:cstheme="minorHAnsi"/>
                <w:sz w:val="16"/>
                <w:lang w:val="en-US"/>
              </w:rPr>
              <w:t>±</w:t>
            </w:r>
            <w:r w:rsidRPr="008441F8">
              <w:rPr>
                <w:sz w:val="16"/>
                <w:lang w:val="en-US"/>
              </w:rPr>
              <w:t xml:space="preserve"> 0.7 resveratrol</w:t>
            </w:r>
          </w:p>
          <w:p w14:paraId="3F4F8ED8" w14:textId="77777777" w:rsidR="00AE654E" w:rsidRPr="008441F8" w:rsidRDefault="00AE654E" w:rsidP="000165F5">
            <w:pPr>
              <w:jc w:val="center"/>
              <w:rPr>
                <w:sz w:val="16"/>
                <w:lang w:val="en-US"/>
              </w:rPr>
            </w:pPr>
            <w:r w:rsidRPr="008441F8">
              <w:rPr>
                <w:sz w:val="16"/>
                <w:lang w:val="en-US"/>
              </w:rPr>
              <w:t>0.015 mM coumarate</w:t>
            </w:r>
          </w:p>
        </w:tc>
        <w:tc>
          <w:tcPr>
            <w:tcW w:w="1701" w:type="dxa"/>
            <w:shd w:val="clear" w:color="auto" w:fill="auto"/>
            <w:vAlign w:val="center"/>
          </w:tcPr>
          <w:p w14:paraId="6A27BC19" w14:textId="77777777" w:rsidR="00AE654E" w:rsidRPr="008441F8" w:rsidRDefault="00AE654E" w:rsidP="000165F5">
            <w:pPr>
              <w:jc w:val="center"/>
              <w:rPr>
                <w:sz w:val="16"/>
                <w:lang w:val="en-US"/>
              </w:rPr>
            </w:pPr>
            <w:r w:rsidRPr="008441F8">
              <w:rPr>
                <w:sz w:val="16"/>
                <w:lang w:val="en-US"/>
              </w:rPr>
              <w:t>Figure S15</w:t>
            </w:r>
          </w:p>
        </w:tc>
      </w:tr>
      <w:tr w:rsidR="00AE654E" w:rsidRPr="008441F8" w14:paraId="5DB1127F" w14:textId="77777777" w:rsidTr="005B7F65">
        <w:trPr>
          <w:trHeight w:val="205"/>
        </w:trPr>
        <w:tc>
          <w:tcPr>
            <w:tcW w:w="2122" w:type="dxa"/>
            <w:shd w:val="clear" w:color="auto" w:fill="auto"/>
            <w:vAlign w:val="center"/>
          </w:tcPr>
          <w:p w14:paraId="5D805878"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III </w:t>
            </w:r>
            <w:r w:rsidRPr="008441F8">
              <w:rPr>
                <w:i/>
                <w:sz w:val="16"/>
                <w:lang w:val="en-US"/>
              </w:rPr>
              <w:t>aroF-1</w:t>
            </w:r>
            <w:r w:rsidRPr="008441F8">
              <w:rPr>
                <w:i/>
                <w:sz w:val="16"/>
                <w:vertAlign w:val="superscript"/>
                <w:lang w:val="en-US"/>
              </w:rPr>
              <w:t>P148L</w:t>
            </w:r>
          </w:p>
        </w:tc>
        <w:tc>
          <w:tcPr>
            <w:tcW w:w="1559" w:type="dxa"/>
            <w:vMerge/>
            <w:shd w:val="clear" w:color="auto" w:fill="auto"/>
            <w:vAlign w:val="center"/>
          </w:tcPr>
          <w:p w14:paraId="1FCED9E0" w14:textId="77777777" w:rsidR="00AE654E" w:rsidRPr="008441F8" w:rsidRDefault="00AE654E" w:rsidP="000165F5">
            <w:pPr>
              <w:jc w:val="center"/>
              <w:rPr>
                <w:sz w:val="16"/>
                <w:lang w:val="en-US"/>
              </w:rPr>
            </w:pPr>
          </w:p>
        </w:tc>
        <w:tc>
          <w:tcPr>
            <w:tcW w:w="992" w:type="dxa"/>
            <w:shd w:val="clear" w:color="auto" w:fill="auto"/>
            <w:vAlign w:val="center"/>
          </w:tcPr>
          <w:p w14:paraId="5D891787"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6F5875E0" w14:textId="77777777" w:rsidR="00AE654E" w:rsidRPr="008441F8" w:rsidRDefault="00AE654E" w:rsidP="000165F5">
            <w:pPr>
              <w:jc w:val="center"/>
              <w:rPr>
                <w:sz w:val="16"/>
                <w:lang w:val="en-US"/>
              </w:rPr>
            </w:pPr>
            <w:r w:rsidRPr="008441F8">
              <w:rPr>
                <w:sz w:val="16"/>
                <w:lang w:val="en-US"/>
              </w:rPr>
              <w:t>none</w:t>
            </w:r>
          </w:p>
        </w:tc>
        <w:tc>
          <w:tcPr>
            <w:tcW w:w="850" w:type="dxa"/>
            <w:shd w:val="clear" w:color="auto" w:fill="auto"/>
            <w:vAlign w:val="center"/>
          </w:tcPr>
          <w:p w14:paraId="2FAEF86E"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667D56B8" w14:textId="77777777" w:rsidR="00AE654E" w:rsidRPr="008441F8" w:rsidRDefault="00AE654E" w:rsidP="000165F5">
            <w:pPr>
              <w:jc w:val="center"/>
              <w:rPr>
                <w:sz w:val="16"/>
                <w:lang w:val="en-US"/>
              </w:rPr>
            </w:pPr>
          </w:p>
        </w:tc>
        <w:tc>
          <w:tcPr>
            <w:tcW w:w="2126" w:type="dxa"/>
            <w:shd w:val="clear" w:color="auto" w:fill="auto"/>
            <w:vAlign w:val="center"/>
          </w:tcPr>
          <w:p w14:paraId="7174CAF9" w14:textId="77777777" w:rsidR="00AE654E" w:rsidRPr="008441F8" w:rsidRDefault="00AE654E" w:rsidP="000165F5">
            <w:pPr>
              <w:jc w:val="center"/>
              <w:rPr>
                <w:sz w:val="16"/>
                <w:lang w:val="en-US"/>
              </w:rPr>
            </w:pPr>
          </w:p>
        </w:tc>
        <w:tc>
          <w:tcPr>
            <w:tcW w:w="2268" w:type="dxa"/>
            <w:shd w:val="clear" w:color="auto" w:fill="auto"/>
            <w:vAlign w:val="center"/>
          </w:tcPr>
          <w:p w14:paraId="289BB582" w14:textId="77777777" w:rsidR="00AE654E" w:rsidRPr="008441F8" w:rsidRDefault="00AE654E" w:rsidP="000165F5">
            <w:pPr>
              <w:jc w:val="center"/>
              <w:rPr>
                <w:sz w:val="16"/>
                <w:lang w:val="en-US"/>
              </w:rPr>
            </w:pPr>
            <w:r w:rsidRPr="008441F8">
              <w:rPr>
                <w:sz w:val="16"/>
                <w:lang w:val="en-US"/>
              </w:rPr>
              <w:t>1 resveratrol</w:t>
            </w:r>
          </w:p>
          <w:p w14:paraId="788F0A39" w14:textId="77777777" w:rsidR="00AE654E" w:rsidRPr="008441F8" w:rsidRDefault="00AE654E" w:rsidP="000165F5">
            <w:pPr>
              <w:jc w:val="center"/>
              <w:rPr>
                <w:sz w:val="16"/>
                <w:lang w:val="en-US"/>
              </w:rPr>
            </w:pPr>
            <w:r w:rsidRPr="008441F8">
              <w:rPr>
                <w:sz w:val="16"/>
                <w:lang w:val="en-US"/>
              </w:rPr>
              <w:t>0.015 mM coumarate</w:t>
            </w:r>
          </w:p>
        </w:tc>
        <w:tc>
          <w:tcPr>
            <w:tcW w:w="1701" w:type="dxa"/>
            <w:shd w:val="clear" w:color="auto" w:fill="auto"/>
            <w:vAlign w:val="center"/>
          </w:tcPr>
          <w:p w14:paraId="22883049" w14:textId="77777777" w:rsidR="00AE654E" w:rsidRPr="008441F8" w:rsidRDefault="00AE654E" w:rsidP="000165F5">
            <w:pPr>
              <w:jc w:val="center"/>
              <w:rPr>
                <w:sz w:val="16"/>
                <w:lang w:val="en-US"/>
              </w:rPr>
            </w:pPr>
            <w:r w:rsidRPr="008441F8">
              <w:rPr>
                <w:sz w:val="16"/>
                <w:lang w:val="en-US"/>
              </w:rPr>
              <w:t>Figure S15</w:t>
            </w:r>
          </w:p>
        </w:tc>
      </w:tr>
      <w:tr w:rsidR="00AE654E" w:rsidRPr="008441F8" w14:paraId="75AD1F87" w14:textId="77777777" w:rsidTr="005B7F65">
        <w:trPr>
          <w:trHeight w:val="205"/>
        </w:trPr>
        <w:tc>
          <w:tcPr>
            <w:tcW w:w="2122" w:type="dxa"/>
            <w:shd w:val="clear" w:color="auto" w:fill="auto"/>
            <w:vAlign w:val="center"/>
          </w:tcPr>
          <w:p w14:paraId="6D1F71E5"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III</w:t>
            </w:r>
          </w:p>
        </w:tc>
        <w:tc>
          <w:tcPr>
            <w:tcW w:w="1559" w:type="dxa"/>
            <w:vMerge/>
            <w:shd w:val="clear" w:color="auto" w:fill="auto"/>
            <w:vAlign w:val="center"/>
          </w:tcPr>
          <w:p w14:paraId="6A613D46" w14:textId="77777777" w:rsidR="00AE654E" w:rsidRPr="008441F8" w:rsidRDefault="00AE654E" w:rsidP="000165F5">
            <w:pPr>
              <w:jc w:val="center"/>
              <w:rPr>
                <w:sz w:val="16"/>
                <w:lang w:val="en-US"/>
              </w:rPr>
            </w:pPr>
          </w:p>
        </w:tc>
        <w:tc>
          <w:tcPr>
            <w:tcW w:w="992" w:type="dxa"/>
            <w:shd w:val="clear" w:color="auto" w:fill="auto"/>
            <w:vAlign w:val="center"/>
          </w:tcPr>
          <w:p w14:paraId="2F78939A"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3FC3475F" w14:textId="77777777" w:rsidR="00AE654E" w:rsidRPr="008441F8" w:rsidRDefault="00AE654E" w:rsidP="000165F5">
            <w:pPr>
              <w:jc w:val="center"/>
              <w:rPr>
                <w:sz w:val="16"/>
                <w:lang w:val="en-US"/>
              </w:rPr>
            </w:pPr>
            <w:r w:rsidRPr="008441F8">
              <w:rPr>
                <w:sz w:val="16"/>
                <w:lang w:val="en-US"/>
              </w:rPr>
              <w:t>0.5 mM coumarate</w:t>
            </w:r>
          </w:p>
        </w:tc>
        <w:tc>
          <w:tcPr>
            <w:tcW w:w="850" w:type="dxa"/>
            <w:shd w:val="clear" w:color="auto" w:fill="auto"/>
            <w:vAlign w:val="center"/>
          </w:tcPr>
          <w:p w14:paraId="4195EBD7"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2F857943" w14:textId="77777777" w:rsidR="00AE654E" w:rsidRPr="008441F8" w:rsidRDefault="00AE654E" w:rsidP="000165F5">
            <w:pPr>
              <w:jc w:val="center"/>
              <w:rPr>
                <w:sz w:val="16"/>
                <w:lang w:val="en-US"/>
              </w:rPr>
            </w:pPr>
          </w:p>
        </w:tc>
        <w:tc>
          <w:tcPr>
            <w:tcW w:w="2126" w:type="dxa"/>
            <w:shd w:val="clear" w:color="auto" w:fill="auto"/>
            <w:vAlign w:val="center"/>
          </w:tcPr>
          <w:p w14:paraId="2E89D73B" w14:textId="77777777" w:rsidR="00AE654E" w:rsidRPr="008441F8" w:rsidRDefault="00AE654E" w:rsidP="000165F5">
            <w:pPr>
              <w:jc w:val="center"/>
              <w:rPr>
                <w:sz w:val="16"/>
                <w:lang w:val="en-US"/>
              </w:rPr>
            </w:pPr>
          </w:p>
        </w:tc>
        <w:tc>
          <w:tcPr>
            <w:tcW w:w="2268" w:type="dxa"/>
            <w:shd w:val="clear" w:color="auto" w:fill="auto"/>
            <w:vAlign w:val="center"/>
          </w:tcPr>
          <w:p w14:paraId="7912CEBE" w14:textId="77777777" w:rsidR="00AE654E" w:rsidRPr="008441F8" w:rsidRDefault="00AE654E" w:rsidP="000165F5">
            <w:pPr>
              <w:jc w:val="center"/>
              <w:rPr>
                <w:sz w:val="16"/>
                <w:lang w:val="en-US"/>
              </w:rPr>
            </w:pPr>
            <w:r w:rsidRPr="008441F8">
              <w:rPr>
                <w:sz w:val="16"/>
                <w:lang w:val="en-US"/>
              </w:rPr>
              <w:t xml:space="preserve">84 </w:t>
            </w:r>
            <w:r w:rsidRPr="008441F8">
              <w:rPr>
                <w:rFonts w:cstheme="minorHAnsi"/>
                <w:sz w:val="16"/>
                <w:lang w:val="en-US"/>
              </w:rPr>
              <w:t>±</w:t>
            </w:r>
            <w:r w:rsidRPr="008441F8">
              <w:rPr>
                <w:sz w:val="16"/>
                <w:lang w:val="en-US"/>
              </w:rPr>
              <w:t xml:space="preserve"> 2.2 resveratrol</w:t>
            </w:r>
          </w:p>
          <w:p w14:paraId="619246D5" w14:textId="77777777" w:rsidR="00AE654E" w:rsidRPr="008441F8" w:rsidRDefault="00AE654E" w:rsidP="000165F5">
            <w:pPr>
              <w:jc w:val="center"/>
              <w:rPr>
                <w:sz w:val="16"/>
                <w:lang w:val="en-US"/>
              </w:rPr>
            </w:pPr>
            <w:r w:rsidRPr="008441F8">
              <w:rPr>
                <w:sz w:val="16"/>
                <w:lang w:val="en-US"/>
              </w:rPr>
              <w:t xml:space="preserve">0.135 </w:t>
            </w:r>
            <w:r w:rsidRPr="008441F8">
              <w:rPr>
                <w:rFonts w:cstheme="minorHAnsi"/>
                <w:sz w:val="16"/>
                <w:lang w:val="en-US"/>
              </w:rPr>
              <w:t>±</w:t>
            </w:r>
            <w:r w:rsidRPr="008441F8">
              <w:rPr>
                <w:sz w:val="16"/>
                <w:lang w:val="en-US"/>
              </w:rPr>
              <w:t xml:space="preserve"> 0.011 mM coumarate</w:t>
            </w:r>
          </w:p>
        </w:tc>
        <w:tc>
          <w:tcPr>
            <w:tcW w:w="1701" w:type="dxa"/>
            <w:shd w:val="clear" w:color="auto" w:fill="auto"/>
            <w:vAlign w:val="center"/>
          </w:tcPr>
          <w:p w14:paraId="43B4444D" w14:textId="77777777" w:rsidR="00AE654E" w:rsidRPr="008441F8" w:rsidRDefault="00AE654E" w:rsidP="000165F5">
            <w:pPr>
              <w:jc w:val="center"/>
              <w:rPr>
                <w:sz w:val="16"/>
                <w:lang w:val="en-US"/>
              </w:rPr>
            </w:pPr>
            <w:r w:rsidRPr="008441F8">
              <w:rPr>
                <w:sz w:val="16"/>
                <w:lang w:val="en-US"/>
              </w:rPr>
              <w:t>Figure S15</w:t>
            </w:r>
          </w:p>
        </w:tc>
      </w:tr>
      <w:tr w:rsidR="00AE654E" w:rsidRPr="008441F8" w14:paraId="7867F890" w14:textId="77777777" w:rsidTr="005B7F65">
        <w:trPr>
          <w:trHeight w:val="205"/>
        </w:trPr>
        <w:tc>
          <w:tcPr>
            <w:tcW w:w="2122" w:type="dxa"/>
            <w:shd w:val="clear" w:color="auto" w:fill="auto"/>
            <w:vAlign w:val="center"/>
          </w:tcPr>
          <w:p w14:paraId="0D9F6AEB"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III </w:t>
            </w:r>
            <w:r w:rsidRPr="008441F8">
              <w:rPr>
                <w:i/>
                <w:sz w:val="16"/>
                <w:lang w:val="en-US"/>
              </w:rPr>
              <w:t>aroF-1</w:t>
            </w:r>
            <w:r w:rsidRPr="008441F8">
              <w:rPr>
                <w:i/>
                <w:sz w:val="16"/>
                <w:vertAlign w:val="superscript"/>
                <w:lang w:val="en-US"/>
              </w:rPr>
              <w:t>P148L</w:t>
            </w:r>
          </w:p>
        </w:tc>
        <w:tc>
          <w:tcPr>
            <w:tcW w:w="1559" w:type="dxa"/>
            <w:vMerge/>
            <w:shd w:val="clear" w:color="auto" w:fill="auto"/>
            <w:vAlign w:val="center"/>
          </w:tcPr>
          <w:p w14:paraId="37D56A00" w14:textId="77777777" w:rsidR="00AE654E" w:rsidRPr="008441F8" w:rsidRDefault="00AE654E" w:rsidP="000165F5">
            <w:pPr>
              <w:jc w:val="center"/>
              <w:rPr>
                <w:sz w:val="16"/>
                <w:lang w:val="en-US"/>
              </w:rPr>
            </w:pPr>
          </w:p>
        </w:tc>
        <w:tc>
          <w:tcPr>
            <w:tcW w:w="992" w:type="dxa"/>
            <w:shd w:val="clear" w:color="auto" w:fill="auto"/>
            <w:vAlign w:val="center"/>
          </w:tcPr>
          <w:p w14:paraId="1150576C"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52368068" w14:textId="77777777" w:rsidR="00AE654E" w:rsidRPr="008441F8" w:rsidRDefault="00AE654E" w:rsidP="000165F5">
            <w:pPr>
              <w:jc w:val="center"/>
              <w:rPr>
                <w:sz w:val="16"/>
                <w:lang w:val="en-US"/>
              </w:rPr>
            </w:pPr>
            <w:r w:rsidRPr="008441F8">
              <w:rPr>
                <w:sz w:val="16"/>
                <w:lang w:val="en-US"/>
              </w:rPr>
              <w:t>0.5 mM coumarate</w:t>
            </w:r>
          </w:p>
        </w:tc>
        <w:tc>
          <w:tcPr>
            <w:tcW w:w="850" w:type="dxa"/>
            <w:shd w:val="clear" w:color="auto" w:fill="auto"/>
            <w:vAlign w:val="center"/>
          </w:tcPr>
          <w:p w14:paraId="0FE8FC23"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781D82D5" w14:textId="77777777" w:rsidR="00AE654E" w:rsidRPr="008441F8" w:rsidRDefault="00AE654E" w:rsidP="000165F5">
            <w:pPr>
              <w:jc w:val="center"/>
              <w:rPr>
                <w:sz w:val="16"/>
                <w:lang w:val="en-US"/>
              </w:rPr>
            </w:pPr>
          </w:p>
        </w:tc>
        <w:tc>
          <w:tcPr>
            <w:tcW w:w="2126" w:type="dxa"/>
            <w:shd w:val="clear" w:color="auto" w:fill="auto"/>
            <w:vAlign w:val="center"/>
          </w:tcPr>
          <w:p w14:paraId="1F312775" w14:textId="77777777" w:rsidR="00AE654E" w:rsidRPr="008441F8" w:rsidRDefault="00AE654E" w:rsidP="000165F5">
            <w:pPr>
              <w:jc w:val="center"/>
              <w:rPr>
                <w:sz w:val="16"/>
                <w:lang w:val="en-US"/>
              </w:rPr>
            </w:pPr>
          </w:p>
        </w:tc>
        <w:tc>
          <w:tcPr>
            <w:tcW w:w="2268" w:type="dxa"/>
            <w:shd w:val="clear" w:color="auto" w:fill="auto"/>
            <w:vAlign w:val="center"/>
          </w:tcPr>
          <w:p w14:paraId="3BC37391" w14:textId="77777777" w:rsidR="00AE654E" w:rsidRPr="008441F8" w:rsidRDefault="00AE654E" w:rsidP="000165F5">
            <w:pPr>
              <w:jc w:val="center"/>
              <w:rPr>
                <w:sz w:val="16"/>
                <w:lang w:val="en-US"/>
              </w:rPr>
            </w:pPr>
            <w:r w:rsidRPr="008441F8">
              <w:rPr>
                <w:sz w:val="16"/>
                <w:lang w:val="en-US"/>
              </w:rPr>
              <w:t xml:space="preserve">62.5 </w:t>
            </w:r>
            <w:r w:rsidRPr="008441F8">
              <w:rPr>
                <w:rFonts w:cstheme="minorHAnsi"/>
                <w:sz w:val="16"/>
                <w:lang w:val="en-US"/>
              </w:rPr>
              <w:t>±</w:t>
            </w:r>
            <w:r w:rsidRPr="008441F8">
              <w:rPr>
                <w:sz w:val="16"/>
                <w:lang w:val="en-US"/>
              </w:rPr>
              <w:t xml:space="preserve"> 2.6 resveratrol</w:t>
            </w:r>
          </w:p>
          <w:p w14:paraId="54356721" w14:textId="77777777" w:rsidR="00AE654E" w:rsidRPr="008441F8" w:rsidRDefault="00AE654E" w:rsidP="000165F5">
            <w:pPr>
              <w:jc w:val="center"/>
              <w:rPr>
                <w:sz w:val="16"/>
                <w:lang w:val="en-US"/>
              </w:rPr>
            </w:pPr>
            <w:r w:rsidRPr="008441F8">
              <w:rPr>
                <w:sz w:val="16"/>
                <w:lang w:val="en-US"/>
              </w:rPr>
              <w:t xml:space="preserve">0.22 </w:t>
            </w:r>
            <w:r w:rsidRPr="008441F8">
              <w:rPr>
                <w:rFonts w:cstheme="minorHAnsi"/>
                <w:sz w:val="16"/>
                <w:lang w:val="en-US"/>
              </w:rPr>
              <w:t>±</w:t>
            </w:r>
            <w:r w:rsidRPr="008441F8">
              <w:rPr>
                <w:sz w:val="16"/>
                <w:lang w:val="en-US"/>
              </w:rPr>
              <w:t xml:space="preserve"> 0.01 mM coumarate</w:t>
            </w:r>
          </w:p>
        </w:tc>
        <w:tc>
          <w:tcPr>
            <w:tcW w:w="1701" w:type="dxa"/>
            <w:shd w:val="clear" w:color="auto" w:fill="auto"/>
            <w:vAlign w:val="center"/>
          </w:tcPr>
          <w:p w14:paraId="1FC23495" w14:textId="77777777" w:rsidR="00AE654E" w:rsidRPr="008441F8" w:rsidRDefault="00AE654E" w:rsidP="000165F5">
            <w:pPr>
              <w:jc w:val="center"/>
              <w:rPr>
                <w:sz w:val="16"/>
                <w:lang w:val="en-US"/>
              </w:rPr>
            </w:pPr>
            <w:r w:rsidRPr="008441F8">
              <w:rPr>
                <w:sz w:val="16"/>
                <w:lang w:val="en-US"/>
              </w:rPr>
              <w:t>Figure S15</w:t>
            </w:r>
          </w:p>
        </w:tc>
      </w:tr>
      <w:tr w:rsidR="00AE654E" w:rsidRPr="008441F8" w14:paraId="2CD1FBAB" w14:textId="77777777" w:rsidTr="005B7F65">
        <w:trPr>
          <w:trHeight w:val="205"/>
        </w:trPr>
        <w:tc>
          <w:tcPr>
            <w:tcW w:w="2122" w:type="dxa"/>
            <w:shd w:val="clear" w:color="auto" w:fill="auto"/>
            <w:vAlign w:val="center"/>
          </w:tcPr>
          <w:p w14:paraId="47B7B49B"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III</w:t>
            </w:r>
          </w:p>
        </w:tc>
        <w:tc>
          <w:tcPr>
            <w:tcW w:w="1559" w:type="dxa"/>
            <w:vMerge/>
            <w:shd w:val="clear" w:color="auto" w:fill="auto"/>
            <w:vAlign w:val="center"/>
          </w:tcPr>
          <w:p w14:paraId="6D9887BB" w14:textId="77777777" w:rsidR="00AE654E" w:rsidRPr="008441F8" w:rsidRDefault="00AE654E" w:rsidP="000165F5">
            <w:pPr>
              <w:jc w:val="center"/>
              <w:rPr>
                <w:sz w:val="16"/>
                <w:lang w:val="en-US"/>
              </w:rPr>
            </w:pPr>
          </w:p>
        </w:tc>
        <w:tc>
          <w:tcPr>
            <w:tcW w:w="992" w:type="dxa"/>
            <w:shd w:val="clear" w:color="auto" w:fill="auto"/>
            <w:vAlign w:val="center"/>
          </w:tcPr>
          <w:p w14:paraId="0F9C0094"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6ECEFA1D" w14:textId="77777777" w:rsidR="00AE654E" w:rsidRPr="008441F8" w:rsidRDefault="00AE654E" w:rsidP="000165F5">
            <w:pPr>
              <w:jc w:val="center"/>
              <w:rPr>
                <w:sz w:val="16"/>
                <w:lang w:val="en-US"/>
              </w:rPr>
            </w:pPr>
            <w:r w:rsidRPr="008441F8">
              <w:rPr>
                <w:sz w:val="16"/>
                <w:lang w:val="en-US"/>
              </w:rPr>
              <w:t>0.5 mM tyrosine</w:t>
            </w:r>
          </w:p>
        </w:tc>
        <w:tc>
          <w:tcPr>
            <w:tcW w:w="850" w:type="dxa"/>
            <w:shd w:val="clear" w:color="auto" w:fill="auto"/>
            <w:vAlign w:val="center"/>
          </w:tcPr>
          <w:p w14:paraId="155E2E43"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59218067" w14:textId="77777777" w:rsidR="00AE654E" w:rsidRPr="008441F8" w:rsidRDefault="00AE654E" w:rsidP="000165F5">
            <w:pPr>
              <w:jc w:val="center"/>
              <w:rPr>
                <w:sz w:val="16"/>
                <w:lang w:val="en-US"/>
              </w:rPr>
            </w:pPr>
          </w:p>
        </w:tc>
        <w:tc>
          <w:tcPr>
            <w:tcW w:w="2126" w:type="dxa"/>
            <w:shd w:val="clear" w:color="auto" w:fill="auto"/>
            <w:vAlign w:val="center"/>
          </w:tcPr>
          <w:p w14:paraId="7547D4DE" w14:textId="77777777" w:rsidR="00AE654E" w:rsidRPr="008441F8" w:rsidRDefault="00AE654E" w:rsidP="000165F5">
            <w:pPr>
              <w:jc w:val="center"/>
              <w:rPr>
                <w:sz w:val="16"/>
                <w:lang w:val="en-US"/>
              </w:rPr>
            </w:pPr>
          </w:p>
        </w:tc>
        <w:tc>
          <w:tcPr>
            <w:tcW w:w="2268" w:type="dxa"/>
            <w:shd w:val="clear" w:color="auto" w:fill="auto"/>
            <w:vAlign w:val="center"/>
          </w:tcPr>
          <w:p w14:paraId="5FBE469A" w14:textId="77777777" w:rsidR="00AE654E" w:rsidRPr="008441F8" w:rsidRDefault="00AE654E" w:rsidP="000165F5">
            <w:pPr>
              <w:jc w:val="center"/>
              <w:rPr>
                <w:sz w:val="16"/>
                <w:lang w:val="en-US"/>
              </w:rPr>
            </w:pPr>
            <w:r w:rsidRPr="008441F8">
              <w:rPr>
                <w:sz w:val="16"/>
                <w:lang w:val="en-US"/>
              </w:rPr>
              <w:t xml:space="preserve">0.53 </w:t>
            </w:r>
            <w:r w:rsidRPr="008441F8">
              <w:rPr>
                <w:rFonts w:cstheme="minorHAnsi"/>
                <w:sz w:val="16"/>
                <w:lang w:val="en-US"/>
              </w:rPr>
              <w:t>±</w:t>
            </w:r>
            <w:r w:rsidRPr="008441F8">
              <w:rPr>
                <w:sz w:val="16"/>
                <w:lang w:val="en-US"/>
              </w:rPr>
              <w:t xml:space="preserve"> 0.12 resveratrol</w:t>
            </w:r>
          </w:p>
          <w:p w14:paraId="21A768D3" w14:textId="77777777" w:rsidR="00AE654E" w:rsidRPr="008441F8" w:rsidRDefault="00AE654E" w:rsidP="000165F5">
            <w:pPr>
              <w:jc w:val="center"/>
              <w:rPr>
                <w:sz w:val="16"/>
                <w:lang w:val="en-US"/>
              </w:rPr>
            </w:pPr>
            <w:r w:rsidRPr="008441F8">
              <w:rPr>
                <w:sz w:val="16"/>
                <w:lang w:val="en-US"/>
              </w:rPr>
              <w:t>0.01 mM coumarate</w:t>
            </w:r>
          </w:p>
        </w:tc>
        <w:tc>
          <w:tcPr>
            <w:tcW w:w="1701" w:type="dxa"/>
            <w:shd w:val="clear" w:color="auto" w:fill="auto"/>
            <w:vAlign w:val="center"/>
          </w:tcPr>
          <w:p w14:paraId="2E6D2931" w14:textId="77777777" w:rsidR="00AE654E" w:rsidRPr="008441F8" w:rsidRDefault="00AE654E" w:rsidP="000165F5">
            <w:pPr>
              <w:jc w:val="center"/>
              <w:rPr>
                <w:sz w:val="16"/>
                <w:lang w:val="en-US"/>
              </w:rPr>
            </w:pPr>
            <w:r w:rsidRPr="008441F8">
              <w:rPr>
                <w:sz w:val="16"/>
                <w:lang w:val="en-US"/>
              </w:rPr>
              <w:t>Figure S15</w:t>
            </w:r>
          </w:p>
        </w:tc>
      </w:tr>
      <w:tr w:rsidR="00AE654E" w:rsidRPr="008441F8" w14:paraId="7F5C30A6" w14:textId="77777777" w:rsidTr="005B7F65">
        <w:trPr>
          <w:trHeight w:val="205"/>
        </w:trPr>
        <w:tc>
          <w:tcPr>
            <w:tcW w:w="2122" w:type="dxa"/>
            <w:shd w:val="clear" w:color="auto" w:fill="auto"/>
            <w:vAlign w:val="center"/>
          </w:tcPr>
          <w:p w14:paraId="0EB091D0" w14:textId="77777777" w:rsidR="00AE654E" w:rsidRPr="008441F8" w:rsidRDefault="00AE654E" w:rsidP="000165F5">
            <w:pPr>
              <w:jc w:val="center"/>
              <w:rPr>
                <w:sz w:val="16"/>
                <w:lang w:val="en-US"/>
              </w:rPr>
            </w:pPr>
            <w:r w:rsidRPr="008441F8">
              <w:rPr>
                <w:sz w:val="16"/>
                <w:lang w:val="en-US"/>
              </w:rPr>
              <w:t>GRC3</w:t>
            </w:r>
            <w:r w:rsidRPr="008441F8">
              <w:rPr>
                <w:rFonts w:ascii="Arial" w:hAnsi="Arial" w:cs="Arial"/>
                <w:sz w:val="16"/>
                <w:lang w:val="en-US"/>
              </w:rPr>
              <w:t>Δ</w:t>
            </w:r>
            <w:r w:rsidRPr="008441F8">
              <w:rPr>
                <w:sz w:val="16"/>
                <w:lang w:val="en-US"/>
              </w:rPr>
              <w:t>6MC</w:t>
            </w:r>
            <w:r w:rsidRPr="008441F8">
              <w:rPr>
                <w:sz w:val="16"/>
                <w:lang w:val="en-US"/>
              </w:rPr>
              <w:noBreakHyphen/>
              <w:t xml:space="preserve">III </w:t>
            </w:r>
            <w:r w:rsidRPr="008441F8">
              <w:rPr>
                <w:i/>
                <w:sz w:val="16"/>
                <w:lang w:val="en-US"/>
              </w:rPr>
              <w:t>aroF-1</w:t>
            </w:r>
            <w:r w:rsidRPr="008441F8">
              <w:rPr>
                <w:i/>
                <w:sz w:val="16"/>
                <w:vertAlign w:val="superscript"/>
                <w:lang w:val="en-US"/>
              </w:rPr>
              <w:t>P148L</w:t>
            </w:r>
          </w:p>
        </w:tc>
        <w:tc>
          <w:tcPr>
            <w:tcW w:w="1559" w:type="dxa"/>
            <w:vMerge/>
            <w:shd w:val="clear" w:color="auto" w:fill="auto"/>
            <w:vAlign w:val="center"/>
          </w:tcPr>
          <w:p w14:paraId="26D67F01" w14:textId="77777777" w:rsidR="00AE654E" w:rsidRPr="008441F8" w:rsidRDefault="00AE654E" w:rsidP="000165F5">
            <w:pPr>
              <w:jc w:val="center"/>
              <w:rPr>
                <w:sz w:val="16"/>
                <w:lang w:val="en-US"/>
              </w:rPr>
            </w:pPr>
          </w:p>
        </w:tc>
        <w:tc>
          <w:tcPr>
            <w:tcW w:w="992" w:type="dxa"/>
            <w:shd w:val="clear" w:color="auto" w:fill="auto"/>
            <w:vAlign w:val="center"/>
          </w:tcPr>
          <w:p w14:paraId="0DD303D0" w14:textId="77777777" w:rsidR="00AE654E" w:rsidRPr="008441F8" w:rsidRDefault="00AE654E" w:rsidP="000165F5">
            <w:pPr>
              <w:jc w:val="center"/>
              <w:rPr>
                <w:sz w:val="16"/>
                <w:lang w:val="en-US"/>
              </w:rPr>
            </w:pPr>
            <w:r w:rsidRPr="008441F8">
              <w:rPr>
                <w:sz w:val="16"/>
                <w:lang w:val="en-US"/>
              </w:rPr>
              <w:t>30 mM glc</w:t>
            </w:r>
          </w:p>
        </w:tc>
        <w:tc>
          <w:tcPr>
            <w:tcW w:w="1985" w:type="dxa"/>
            <w:shd w:val="clear" w:color="auto" w:fill="auto"/>
            <w:vAlign w:val="center"/>
          </w:tcPr>
          <w:p w14:paraId="7345E9BF" w14:textId="77777777" w:rsidR="00AE654E" w:rsidRPr="008441F8" w:rsidRDefault="00AE654E" w:rsidP="000165F5">
            <w:pPr>
              <w:jc w:val="center"/>
              <w:rPr>
                <w:sz w:val="16"/>
                <w:lang w:val="en-US"/>
              </w:rPr>
            </w:pPr>
            <w:r w:rsidRPr="008441F8">
              <w:rPr>
                <w:sz w:val="16"/>
                <w:lang w:val="en-US"/>
              </w:rPr>
              <w:t>0.5 mM tyrosine</w:t>
            </w:r>
          </w:p>
        </w:tc>
        <w:tc>
          <w:tcPr>
            <w:tcW w:w="850" w:type="dxa"/>
            <w:shd w:val="clear" w:color="auto" w:fill="auto"/>
            <w:vAlign w:val="center"/>
          </w:tcPr>
          <w:p w14:paraId="5C254483" w14:textId="77777777" w:rsidR="00AE654E" w:rsidRPr="008441F8" w:rsidRDefault="00AE654E" w:rsidP="000165F5">
            <w:pPr>
              <w:jc w:val="center"/>
              <w:rPr>
                <w:sz w:val="16"/>
                <w:lang w:val="en-US"/>
              </w:rPr>
            </w:pPr>
            <w:r w:rsidRPr="008441F8">
              <w:rPr>
                <w:sz w:val="16"/>
                <w:lang w:val="en-US"/>
              </w:rPr>
              <w:t>1%</w:t>
            </w:r>
          </w:p>
        </w:tc>
        <w:tc>
          <w:tcPr>
            <w:tcW w:w="709" w:type="dxa"/>
            <w:shd w:val="clear" w:color="auto" w:fill="auto"/>
            <w:vAlign w:val="center"/>
          </w:tcPr>
          <w:p w14:paraId="1CC246CF" w14:textId="77777777" w:rsidR="00AE654E" w:rsidRPr="008441F8" w:rsidRDefault="00AE654E" w:rsidP="000165F5">
            <w:pPr>
              <w:jc w:val="center"/>
              <w:rPr>
                <w:sz w:val="16"/>
                <w:lang w:val="en-US"/>
              </w:rPr>
            </w:pPr>
          </w:p>
        </w:tc>
        <w:tc>
          <w:tcPr>
            <w:tcW w:w="2126" w:type="dxa"/>
            <w:shd w:val="clear" w:color="auto" w:fill="auto"/>
            <w:vAlign w:val="center"/>
          </w:tcPr>
          <w:p w14:paraId="64233848" w14:textId="77777777" w:rsidR="00AE654E" w:rsidRPr="008441F8" w:rsidRDefault="00AE654E" w:rsidP="000165F5">
            <w:pPr>
              <w:jc w:val="center"/>
              <w:rPr>
                <w:sz w:val="16"/>
                <w:lang w:val="en-US"/>
              </w:rPr>
            </w:pPr>
          </w:p>
        </w:tc>
        <w:tc>
          <w:tcPr>
            <w:tcW w:w="2268" w:type="dxa"/>
            <w:shd w:val="clear" w:color="auto" w:fill="auto"/>
            <w:vAlign w:val="center"/>
          </w:tcPr>
          <w:p w14:paraId="36330E21" w14:textId="77777777" w:rsidR="00AE654E" w:rsidRPr="008441F8" w:rsidRDefault="00AE654E" w:rsidP="000165F5">
            <w:pPr>
              <w:jc w:val="center"/>
              <w:rPr>
                <w:sz w:val="16"/>
                <w:lang w:val="en-US"/>
              </w:rPr>
            </w:pPr>
            <w:r w:rsidRPr="008441F8">
              <w:rPr>
                <w:sz w:val="16"/>
                <w:lang w:val="en-US"/>
              </w:rPr>
              <w:t xml:space="preserve">0.43 </w:t>
            </w:r>
            <w:r w:rsidRPr="008441F8">
              <w:rPr>
                <w:rFonts w:cstheme="minorHAnsi"/>
                <w:sz w:val="16"/>
                <w:lang w:val="en-US"/>
              </w:rPr>
              <w:t>±</w:t>
            </w:r>
            <w:r w:rsidRPr="008441F8">
              <w:rPr>
                <w:sz w:val="16"/>
                <w:lang w:val="en-US"/>
              </w:rPr>
              <w:t xml:space="preserve"> 0.07 resveratrol</w:t>
            </w:r>
          </w:p>
          <w:p w14:paraId="5FB1D803" w14:textId="77777777" w:rsidR="00AE654E" w:rsidRPr="008441F8" w:rsidRDefault="00AE654E" w:rsidP="000165F5">
            <w:pPr>
              <w:jc w:val="center"/>
              <w:rPr>
                <w:sz w:val="16"/>
                <w:lang w:val="en-US"/>
              </w:rPr>
            </w:pPr>
            <w:r w:rsidRPr="008441F8">
              <w:rPr>
                <w:sz w:val="16"/>
                <w:lang w:val="en-US"/>
              </w:rPr>
              <w:t>0.01 mM coumarate</w:t>
            </w:r>
          </w:p>
        </w:tc>
        <w:tc>
          <w:tcPr>
            <w:tcW w:w="1701" w:type="dxa"/>
            <w:shd w:val="clear" w:color="auto" w:fill="auto"/>
            <w:vAlign w:val="center"/>
          </w:tcPr>
          <w:p w14:paraId="44B8C4A1" w14:textId="77777777" w:rsidR="00AE654E" w:rsidRPr="008441F8" w:rsidRDefault="00AE654E" w:rsidP="000165F5">
            <w:pPr>
              <w:jc w:val="center"/>
              <w:rPr>
                <w:sz w:val="16"/>
                <w:lang w:val="en-US"/>
              </w:rPr>
            </w:pPr>
            <w:r w:rsidRPr="008441F8">
              <w:rPr>
                <w:sz w:val="16"/>
                <w:lang w:val="en-US"/>
              </w:rPr>
              <w:t>Figure S15</w:t>
            </w:r>
          </w:p>
        </w:tc>
      </w:tr>
    </w:tbl>
    <w:p w14:paraId="0EC33A2F" w14:textId="77777777" w:rsidR="00AE654E" w:rsidRPr="008441F8" w:rsidRDefault="00AE654E" w:rsidP="00B84A00">
      <w:pPr>
        <w:spacing w:line="276" w:lineRule="auto"/>
        <w:rPr>
          <w:lang w:val="en-US"/>
        </w:rPr>
        <w:sectPr w:rsidR="00AE654E" w:rsidRPr="008441F8" w:rsidSect="00BD4F3C">
          <w:headerReference w:type="default" r:id="rId37"/>
          <w:footerReference w:type="default" r:id="rId38"/>
          <w:pgSz w:w="16838" w:h="11906" w:orient="landscape"/>
          <w:pgMar w:top="709" w:right="1417" w:bottom="709" w:left="1134" w:header="708" w:footer="708" w:gutter="0"/>
          <w:cols w:space="708"/>
          <w:docGrid w:linePitch="360"/>
        </w:sectPr>
      </w:pPr>
    </w:p>
    <w:p w14:paraId="729BC382" w14:textId="77777777" w:rsidR="00AE654E" w:rsidRPr="008441F8" w:rsidRDefault="00AE654E" w:rsidP="00B84A00">
      <w:pPr>
        <w:pStyle w:val="berschrift2"/>
        <w:spacing w:line="276" w:lineRule="auto"/>
        <w:rPr>
          <w:lang w:val="en-US"/>
        </w:rPr>
      </w:pPr>
      <w:bookmarkStart w:id="24" w:name="_Toc132047277"/>
      <w:r w:rsidRPr="008441F8">
        <w:rPr>
          <w:lang w:val="en-US"/>
        </w:rPr>
        <w:lastRenderedPageBreak/>
        <w:t>References in supplementary material</w:t>
      </w:r>
      <w:bookmarkEnd w:id="24"/>
    </w:p>
    <w:p w14:paraId="5CA85965"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lang w:val="en-US"/>
        </w:rPr>
        <w:fldChar w:fldCharType="begin" w:fldLock="1"/>
      </w:r>
      <w:r w:rsidRPr="008441F8">
        <w:rPr>
          <w:lang w:val="en-US"/>
        </w:rPr>
        <w:instrText xml:space="preserve">ADDIN Mendeley Bibliography CSL_BIBLIOGRAPHY </w:instrText>
      </w:r>
      <w:r w:rsidRPr="008441F8">
        <w:rPr>
          <w:lang w:val="en-US"/>
        </w:rPr>
        <w:fldChar w:fldCharType="separate"/>
      </w:r>
      <w:r w:rsidRPr="008441F8">
        <w:rPr>
          <w:rFonts w:ascii="Calibri" w:hAnsi="Calibri" w:cs="Calibri"/>
          <w:noProof/>
          <w:szCs w:val="24"/>
          <w:lang w:val="en-US"/>
        </w:rPr>
        <w:t xml:space="preserve">Ackermann, Y. S., Li, W.-J., Op de Hipt, L., Niehoff, P.-J., Casey, W., Polen, T., Köbbing, S., Ballerstedt, H., Wynands, B., O’Connor, K., Blank, L. M., &amp; Wierckx, N. (2021). Engineering adipic acid metabolism in </w:t>
      </w:r>
      <w:r w:rsidRPr="008441F8">
        <w:rPr>
          <w:rFonts w:ascii="Calibri" w:hAnsi="Calibri" w:cs="Calibri"/>
          <w:i/>
          <w:iCs/>
          <w:noProof/>
          <w:szCs w:val="24"/>
          <w:lang w:val="en-US"/>
        </w:rPr>
        <w:t>Pseudomonas putida</w:t>
      </w:r>
      <w:r w:rsidRPr="008441F8">
        <w:rPr>
          <w:rFonts w:ascii="Calibri" w:hAnsi="Calibri" w:cs="Calibri"/>
          <w:noProof/>
          <w:szCs w:val="24"/>
          <w:lang w:val="en-US"/>
        </w:rPr>
        <w:t xml:space="preserve">. </w:t>
      </w:r>
      <w:r w:rsidRPr="008441F8">
        <w:rPr>
          <w:rFonts w:ascii="Calibri" w:hAnsi="Calibri" w:cs="Calibri"/>
          <w:i/>
          <w:iCs/>
          <w:noProof/>
          <w:szCs w:val="24"/>
          <w:lang w:val="en-US"/>
        </w:rPr>
        <w:t>Metabolic Engineering</w:t>
      </w:r>
      <w:r w:rsidRPr="008441F8">
        <w:rPr>
          <w:rFonts w:ascii="Calibri" w:hAnsi="Calibri" w:cs="Calibri"/>
          <w:noProof/>
          <w:szCs w:val="24"/>
          <w:lang w:val="en-US"/>
        </w:rPr>
        <w:t xml:space="preserve">, </w:t>
      </w:r>
      <w:r w:rsidRPr="008441F8">
        <w:rPr>
          <w:rFonts w:ascii="Calibri" w:hAnsi="Calibri" w:cs="Calibri"/>
          <w:i/>
          <w:iCs/>
          <w:noProof/>
          <w:szCs w:val="24"/>
          <w:lang w:val="en-US"/>
        </w:rPr>
        <w:t>67</w:t>
      </w:r>
      <w:r w:rsidRPr="008441F8">
        <w:rPr>
          <w:rFonts w:ascii="Calibri" w:hAnsi="Calibri" w:cs="Calibri"/>
          <w:noProof/>
          <w:szCs w:val="24"/>
          <w:lang w:val="en-US"/>
        </w:rPr>
        <w:t>(February), 29–40. https://doi.org/10.1016/j.ymben.2021.05.001</w:t>
      </w:r>
    </w:p>
    <w:p w14:paraId="417A6B9B"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B97427">
        <w:rPr>
          <w:rFonts w:ascii="Calibri" w:hAnsi="Calibri" w:cs="Calibri"/>
          <w:noProof/>
          <w:szCs w:val="24"/>
        </w:rPr>
        <w:t xml:space="preserve">Choi, K. H., Gaynor, J. B., White, K. G., Lopez, C., Bosio, C. M., Karkhoff-Schweizer, R. A. R., &amp; Schweizer, H. P. (2005). </w:t>
      </w:r>
      <w:r w:rsidRPr="008441F8">
        <w:rPr>
          <w:rFonts w:ascii="Calibri" w:hAnsi="Calibri" w:cs="Calibri"/>
          <w:noProof/>
          <w:szCs w:val="24"/>
          <w:lang w:val="en-US"/>
        </w:rPr>
        <w:t xml:space="preserve">A Tn7-based broad-range bacterial cloning and expression system. </w:t>
      </w:r>
      <w:r w:rsidRPr="008441F8">
        <w:rPr>
          <w:rFonts w:ascii="Calibri" w:hAnsi="Calibri" w:cs="Calibri"/>
          <w:i/>
          <w:iCs/>
          <w:noProof/>
          <w:szCs w:val="24"/>
          <w:lang w:val="en-US"/>
        </w:rPr>
        <w:t>Nature Methods</w:t>
      </w:r>
      <w:r w:rsidRPr="008441F8">
        <w:rPr>
          <w:rFonts w:ascii="Calibri" w:hAnsi="Calibri" w:cs="Calibri"/>
          <w:noProof/>
          <w:szCs w:val="24"/>
          <w:lang w:val="en-US"/>
        </w:rPr>
        <w:t xml:space="preserve">, </w:t>
      </w:r>
      <w:r w:rsidRPr="008441F8">
        <w:rPr>
          <w:rFonts w:ascii="Calibri" w:hAnsi="Calibri" w:cs="Calibri"/>
          <w:i/>
          <w:iCs/>
          <w:noProof/>
          <w:szCs w:val="24"/>
          <w:lang w:val="en-US"/>
        </w:rPr>
        <w:t>2</w:t>
      </w:r>
      <w:r w:rsidRPr="008441F8">
        <w:rPr>
          <w:rFonts w:ascii="Calibri" w:hAnsi="Calibri" w:cs="Calibri"/>
          <w:noProof/>
          <w:szCs w:val="24"/>
          <w:lang w:val="en-US"/>
        </w:rPr>
        <w:t>(6), 443–448. https://doi.org/10.1038/nmeth765</w:t>
      </w:r>
    </w:p>
    <w:p w14:paraId="107EF313"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Cochrane, F. C., Davin, L. B., &amp; Lewis, N. G. (2004). The </w:t>
      </w:r>
      <w:r w:rsidRPr="008441F8">
        <w:rPr>
          <w:rFonts w:ascii="Calibri" w:hAnsi="Calibri" w:cs="Calibri"/>
          <w:i/>
          <w:iCs/>
          <w:noProof/>
          <w:szCs w:val="24"/>
          <w:lang w:val="en-US"/>
        </w:rPr>
        <w:t>Arabidopsis</w:t>
      </w:r>
      <w:r w:rsidRPr="008441F8">
        <w:rPr>
          <w:rFonts w:ascii="Calibri" w:hAnsi="Calibri" w:cs="Calibri"/>
          <w:noProof/>
          <w:szCs w:val="24"/>
          <w:lang w:val="en-US"/>
        </w:rPr>
        <w:t xml:space="preserve"> phenylalanine ammonia lyase gene family: Kinetic characterization of the four PAL isoforms. </w:t>
      </w:r>
      <w:r w:rsidRPr="008441F8">
        <w:rPr>
          <w:rFonts w:ascii="Calibri" w:hAnsi="Calibri" w:cs="Calibri"/>
          <w:i/>
          <w:iCs/>
          <w:noProof/>
          <w:szCs w:val="24"/>
          <w:lang w:val="en-US"/>
        </w:rPr>
        <w:t>Phytochemistry</w:t>
      </w:r>
      <w:r w:rsidRPr="008441F8">
        <w:rPr>
          <w:rFonts w:ascii="Calibri" w:hAnsi="Calibri" w:cs="Calibri"/>
          <w:noProof/>
          <w:szCs w:val="24"/>
          <w:lang w:val="en-US"/>
        </w:rPr>
        <w:t xml:space="preserve">, </w:t>
      </w:r>
      <w:r w:rsidRPr="008441F8">
        <w:rPr>
          <w:rFonts w:ascii="Calibri" w:hAnsi="Calibri" w:cs="Calibri"/>
          <w:i/>
          <w:iCs/>
          <w:noProof/>
          <w:szCs w:val="24"/>
          <w:lang w:val="en-US"/>
        </w:rPr>
        <w:t>65</w:t>
      </w:r>
      <w:r w:rsidRPr="008441F8">
        <w:rPr>
          <w:rFonts w:ascii="Calibri" w:hAnsi="Calibri" w:cs="Calibri"/>
          <w:noProof/>
          <w:szCs w:val="24"/>
          <w:lang w:val="en-US"/>
        </w:rPr>
        <w:t>(11), 1557–1564. https://doi.org/10.1016/j.phytochem.2004.05.006</w:t>
      </w:r>
    </w:p>
    <w:p w14:paraId="713FEA9A"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Cui, P., Zhong, W., Qin, Y., Tao, F., Wang, W., &amp; Zhan, J. (2020). Characterization of two new aromatic amino acid lyases from actinomycetes for highly efficient production of </w:t>
      </w:r>
      <w:r w:rsidRPr="008441F8">
        <w:rPr>
          <w:rFonts w:ascii="Calibri" w:hAnsi="Calibri" w:cs="Calibri"/>
          <w:i/>
          <w:iCs/>
          <w:noProof/>
          <w:szCs w:val="24"/>
          <w:lang w:val="en-US"/>
        </w:rPr>
        <w:t>p</w:t>
      </w:r>
      <w:r w:rsidRPr="008441F8">
        <w:rPr>
          <w:rFonts w:ascii="Calibri" w:hAnsi="Calibri" w:cs="Calibri"/>
          <w:noProof/>
          <w:szCs w:val="24"/>
          <w:lang w:val="en-US"/>
        </w:rPr>
        <w:t xml:space="preserve">-coumaric acid. </w:t>
      </w:r>
      <w:r w:rsidRPr="008441F8">
        <w:rPr>
          <w:rFonts w:ascii="Calibri" w:hAnsi="Calibri" w:cs="Calibri"/>
          <w:i/>
          <w:iCs/>
          <w:noProof/>
          <w:szCs w:val="24"/>
          <w:lang w:val="en-US"/>
        </w:rPr>
        <w:t>Bioprocess and Biosystems Engineering</w:t>
      </w:r>
      <w:r w:rsidRPr="008441F8">
        <w:rPr>
          <w:rFonts w:ascii="Calibri" w:hAnsi="Calibri" w:cs="Calibri"/>
          <w:noProof/>
          <w:szCs w:val="24"/>
          <w:lang w:val="en-US"/>
        </w:rPr>
        <w:t xml:space="preserve">, </w:t>
      </w:r>
      <w:r w:rsidRPr="008441F8">
        <w:rPr>
          <w:rFonts w:ascii="Calibri" w:hAnsi="Calibri" w:cs="Calibri"/>
          <w:i/>
          <w:iCs/>
          <w:noProof/>
          <w:szCs w:val="24"/>
          <w:lang w:val="en-US"/>
        </w:rPr>
        <w:t>43</w:t>
      </w:r>
      <w:r w:rsidRPr="008441F8">
        <w:rPr>
          <w:rFonts w:ascii="Calibri" w:hAnsi="Calibri" w:cs="Calibri"/>
          <w:noProof/>
          <w:szCs w:val="24"/>
          <w:lang w:val="en-US"/>
        </w:rPr>
        <w:t>(7), 1287–1298. https://doi.org/10.1007/s00449-020-02325-5</w:t>
      </w:r>
    </w:p>
    <w:p w14:paraId="3C1819D2"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De Las Heras, A., Carreño, C. A., &amp; De Lorenzo, V. (2008). Stable implantation of orthogonal sensor circuits in Gram-negative bacteria for environmental release. </w:t>
      </w:r>
      <w:r w:rsidRPr="008441F8">
        <w:rPr>
          <w:rFonts w:ascii="Calibri" w:hAnsi="Calibri" w:cs="Calibri"/>
          <w:i/>
          <w:iCs/>
          <w:noProof/>
          <w:szCs w:val="24"/>
          <w:lang w:val="en-US"/>
        </w:rPr>
        <w:t>Environmental Microbiology</w:t>
      </w:r>
      <w:r w:rsidRPr="008441F8">
        <w:rPr>
          <w:rFonts w:ascii="Calibri" w:hAnsi="Calibri" w:cs="Calibri"/>
          <w:noProof/>
          <w:szCs w:val="24"/>
          <w:lang w:val="en-US"/>
        </w:rPr>
        <w:t xml:space="preserve">, </w:t>
      </w:r>
      <w:r w:rsidRPr="008441F8">
        <w:rPr>
          <w:rFonts w:ascii="Calibri" w:hAnsi="Calibri" w:cs="Calibri"/>
          <w:i/>
          <w:iCs/>
          <w:noProof/>
          <w:szCs w:val="24"/>
          <w:lang w:val="en-US"/>
        </w:rPr>
        <w:t>10</w:t>
      </w:r>
      <w:r w:rsidRPr="008441F8">
        <w:rPr>
          <w:rFonts w:ascii="Calibri" w:hAnsi="Calibri" w:cs="Calibri"/>
          <w:noProof/>
          <w:szCs w:val="24"/>
          <w:lang w:val="en-US"/>
        </w:rPr>
        <w:t>(12), 3305–3316. https://doi.org/10.1111/j.1462-2920.2008.01722.x</w:t>
      </w:r>
    </w:p>
    <w:p w14:paraId="03A35B25"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Ditta, G., Stanfield, S., Corbin, D., &amp; Helinski, D. R. (1980). Broad host range </w:t>
      </w:r>
      <w:r w:rsidRPr="008441F8">
        <w:rPr>
          <w:rFonts w:ascii="Calibri" w:hAnsi="Calibri" w:cs="Calibri"/>
          <w:noProof/>
          <w:szCs w:val="24"/>
          <w:lang w:val="en-US"/>
        </w:rPr>
        <w:lastRenderedPageBreak/>
        <w:t xml:space="preserve">DNA cloning system for Gram-negative bacteria: Construction of a gene bank of </w:t>
      </w:r>
      <w:r w:rsidRPr="008441F8">
        <w:rPr>
          <w:rFonts w:ascii="Calibri" w:hAnsi="Calibri" w:cs="Calibri"/>
          <w:i/>
          <w:iCs/>
          <w:noProof/>
          <w:szCs w:val="24"/>
          <w:lang w:val="en-US"/>
        </w:rPr>
        <w:t>Rhizobium meliloti</w:t>
      </w:r>
      <w:r w:rsidRPr="008441F8">
        <w:rPr>
          <w:rFonts w:ascii="Calibri" w:hAnsi="Calibri" w:cs="Calibri"/>
          <w:noProof/>
          <w:szCs w:val="24"/>
          <w:lang w:val="en-US"/>
        </w:rPr>
        <w:t xml:space="preserve">. </w:t>
      </w:r>
      <w:r w:rsidRPr="008441F8">
        <w:rPr>
          <w:rFonts w:ascii="Calibri" w:hAnsi="Calibri" w:cs="Calibri"/>
          <w:i/>
          <w:iCs/>
          <w:noProof/>
          <w:szCs w:val="24"/>
          <w:lang w:val="en-US"/>
        </w:rPr>
        <w:t>Proceedings of the National Academy of Sciences of the United States of America</w:t>
      </w:r>
      <w:r w:rsidRPr="008441F8">
        <w:rPr>
          <w:rFonts w:ascii="Calibri" w:hAnsi="Calibri" w:cs="Calibri"/>
          <w:noProof/>
          <w:szCs w:val="24"/>
          <w:lang w:val="en-US"/>
        </w:rPr>
        <w:t xml:space="preserve">, </w:t>
      </w:r>
      <w:r w:rsidRPr="008441F8">
        <w:rPr>
          <w:rFonts w:ascii="Calibri" w:hAnsi="Calibri" w:cs="Calibri"/>
          <w:i/>
          <w:iCs/>
          <w:noProof/>
          <w:szCs w:val="24"/>
          <w:lang w:val="en-US"/>
        </w:rPr>
        <w:t>77</w:t>
      </w:r>
      <w:r w:rsidRPr="008441F8">
        <w:rPr>
          <w:rFonts w:ascii="Calibri" w:hAnsi="Calibri" w:cs="Calibri"/>
          <w:noProof/>
          <w:szCs w:val="24"/>
          <w:lang w:val="en-US"/>
        </w:rPr>
        <w:t>(12 II), 7347–7351. https://doi.org/10.1073/pnas.77.12.7347</w:t>
      </w:r>
    </w:p>
    <w:p w14:paraId="2CEC435B"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B97427">
        <w:rPr>
          <w:rFonts w:ascii="Calibri" w:hAnsi="Calibri" w:cs="Calibri"/>
          <w:noProof/>
          <w:szCs w:val="24"/>
        </w:rPr>
        <w:t xml:space="preserve">Gross, F., Luniak, N., Perlova, O., Gaitatzis, N., Jenke-Kodama, H., Gerth, K., Gottschalk, D., Dittmann, E., &amp; Müller, R. (2006). </w:t>
      </w:r>
      <w:r w:rsidRPr="008441F8">
        <w:rPr>
          <w:rFonts w:ascii="Calibri" w:hAnsi="Calibri" w:cs="Calibri"/>
          <w:noProof/>
          <w:szCs w:val="24"/>
          <w:lang w:val="en-US"/>
        </w:rPr>
        <w:t xml:space="preserve">Bacterial type III polyketide synthases: Phylogenetic analysis and potential for the production of novel secondary metabolites by heterologous expression in pseudomonads. </w:t>
      </w:r>
      <w:r w:rsidRPr="008441F8">
        <w:rPr>
          <w:rFonts w:ascii="Calibri" w:hAnsi="Calibri" w:cs="Calibri"/>
          <w:i/>
          <w:iCs/>
          <w:noProof/>
          <w:szCs w:val="24"/>
          <w:lang w:val="en-US"/>
        </w:rPr>
        <w:t>Archives of Microbiology</w:t>
      </w:r>
      <w:r w:rsidRPr="008441F8">
        <w:rPr>
          <w:rFonts w:ascii="Calibri" w:hAnsi="Calibri" w:cs="Calibri"/>
          <w:noProof/>
          <w:szCs w:val="24"/>
          <w:lang w:val="en-US"/>
        </w:rPr>
        <w:t xml:space="preserve">, </w:t>
      </w:r>
      <w:r w:rsidRPr="008441F8">
        <w:rPr>
          <w:rFonts w:ascii="Calibri" w:hAnsi="Calibri" w:cs="Calibri"/>
          <w:i/>
          <w:iCs/>
          <w:noProof/>
          <w:szCs w:val="24"/>
          <w:lang w:val="en-US"/>
        </w:rPr>
        <w:t>185</w:t>
      </w:r>
      <w:r w:rsidRPr="008441F8">
        <w:rPr>
          <w:rFonts w:ascii="Calibri" w:hAnsi="Calibri" w:cs="Calibri"/>
          <w:noProof/>
          <w:szCs w:val="24"/>
          <w:lang w:val="en-US"/>
        </w:rPr>
        <w:t>(1), 28–38. https://doi.org/10.1007/s00203-005-0059-3</w:t>
      </w:r>
    </w:p>
    <w:p w14:paraId="7EE0B446"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Koopman, F., Wierckx, N., De Winde, J. H., &amp; Ruijssenaars, H. J. (2010). Identification and characterization of the furfural and 5-(hydroxymethyl)furfural degradation pathways of </w:t>
      </w:r>
      <w:r w:rsidRPr="008441F8">
        <w:rPr>
          <w:rFonts w:ascii="Calibri" w:hAnsi="Calibri" w:cs="Calibri"/>
          <w:i/>
          <w:iCs/>
          <w:noProof/>
          <w:szCs w:val="24"/>
          <w:lang w:val="en-US"/>
        </w:rPr>
        <w:t>Cupriavidus basilensis</w:t>
      </w:r>
      <w:r w:rsidRPr="008441F8">
        <w:rPr>
          <w:rFonts w:ascii="Calibri" w:hAnsi="Calibri" w:cs="Calibri"/>
          <w:noProof/>
          <w:szCs w:val="24"/>
          <w:lang w:val="en-US"/>
        </w:rPr>
        <w:t xml:space="preserve"> HMF14. </w:t>
      </w:r>
      <w:r w:rsidRPr="008441F8">
        <w:rPr>
          <w:rFonts w:ascii="Calibri" w:hAnsi="Calibri" w:cs="Calibri"/>
          <w:i/>
          <w:iCs/>
          <w:noProof/>
          <w:szCs w:val="24"/>
          <w:lang w:val="en-US"/>
        </w:rPr>
        <w:t>Proceedings of the National Academy of Sciences of the United States of America</w:t>
      </w:r>
      <w:r w:rsidRPr="008441F8">
        <w:rPr>
          <w:rFonts w:ascii="Calibri" w:hAnsi="Calibri" w:cs="Calibri"/>
          <w:noProof/>
          <w:szCs w:val="24"/>
          <w:lang w:val="en-US"/>
        </w:rPr>
        <w:t xml:space="preserve">, </w:t>
      </w:r>
      <w:r w:rsidRPr="008441F8">
        <w:rPr>
          <w:rFonts w:ascii="Calibri" w:hAnsi="Calibri" w:cs="Calibri"/>
          <w:i/>
          <w:iCs/>
          <w:noProof/>
          <w:szCs w:val="24"/>
          <w:lang w:val="en-US"/>
        </w:rPr>
        <w:t>107</w:t>
      </w:r>
      <w:r w:rsidRPr="008441F8">
        <w:rPr>
          <w:rFonts w:ascii="Calibri" w:hAnsi="Calibri" w:cs="Calibri"/>
          <w:noProof/>
          <w:szCs w:val="24"/>
          <w:lang w:val="en-US"/>
        </w:rPr>
        <w:t>(11), 4919–4924. https://doi.org/10.1073/pnas.0913039107</w:t>
      </w:r>
    </w:p>
    <w:p w14:paraId="0D70E6CE"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B97427">
        <w:rPr>
          <w:rFonts w:ascii="Calibri" w:hAnsi="Calibri" w:cs="Calibri"/>
          <w:noProof/>
          <w:szCs w:val="24"/>
        </w:rPr>
        <w:t xml:space="preserve">Martínez-García, E., &amp; de Lorenzo, V. (2011). </w:t>
      </w:r>
      <w:r w:rsidRPr="008441F8">
        <w:rPr>
          <w:rFonts w:ascii="Calibri" w:hAnsi="Calibri" w:cs="Calibri"/>
          <w:noProof/>
          <w:szCs w:val="24"/>
          <w:lang w:val="en-US"/>
        </w:rPr>
        <w:t xml:space="preserve">Engineering multiple genomic deletions in Gram-negative bacteria: Analysis of the multi-resistant antibiotic profile of </w:t>
      </w:r>
      <w:r w:rsidRPr="008441F8">
        <w:rPr>
          <w:rFonts w:ascii="Calibri" w:hAnsi="Calibri" w:cs="Calibri"/>
          <w:i/>
          <w:iCs/>
          <w:noProof/>
          <w:szCs w:val="24"/>
          <w:lang w:val="en-US"/>
        </w:rPr>
        <w:t>Pseudomonas putida</w:t>
      </w:r>
      <w:r w:rsidRPr="008441F8">
        <w:rPr>
          <w:rFonts w:ascii="Calibri" w:hAnsi="Calibri" w:cs="Calibri"/>
          <w:noProof/>
          <w:szCs w:val="24"/>
          <w:lang w:val="en-US"/>
        </w:rPr>
        <w:t xml:space="preserve"> KT2440. In </w:t>
      </w:r>
      <w:r w:rsidRPr="008441F8">
        <w:rPr>
          <w:rFonts w:ascii="Calibri" w:hAnsi="Calibri" w:cs="Calibri"/>
          <w:i/>
          <w:iCs/>
          <w:noProof/>
          <w:szCs w:val="24"/>
          <w:lang w:val="en-US"/>
        </w:rPr>
        <w:t>Environmental Microbiology</w:t>
      </w:r>
      <w:r w:rsidRPr="008441F8">
        <w:rPr>
          <w:rFonts w:ascii="Calibri" w:hAnsi="Calibri" w:cs="Calibri"/>
          <w:noProof/>
          <w:szCs w:val="24"/>
          <w:lang w:val="en-US"/>
        </w:rPr>
        <w:t xml:space="preserve"> (Vol. 13, Issue 10, pp. 2702–2716). https://doi.org/10.1111/j.1462-2920.2011.02538.x</w:t>
      </w:r>
    </w:p>
    <w:p w14:paraId="3F532C9A"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Milke, L., Ferreira, P., Kallscheuer, N., Braga, A., Vogt, M., Kappelmann, J., Oliveira, J., Silva, A. R., Rocha, I., Bott, M., Noack, S., Faria, N., &amp; Marienhagen, J. (2019). Modulation of the central carbon metabolism of </w:t>
      </w:r>
      <w:r w:rsidRPr="008441F8">
        <w:rPr>
          <w:rFonts w:ascii="Calibri" w:hAnsi="Calibri" w:cs="Calibri"/>
          <w:i/>
          <w:iCs/>
          <w:noProof/>
          <w:szCs w:val="24"/>
          <w:lang w:val="en-US"/>
        </w:rPr>
        <w:lastRenderedPageBreak/>
        <w:t>Corynebacterium glutamicum</w:t>
      </w:r>
      <w:r w:rsidRPr="008441F8">
        <w:rPr>
          <w:rFonts w:ascii="Calibri" w:hAnsi="Calibri" w:cs="Calibri"/>
          <w:noProof/>
          <w:szCs w:val="24"/>
          <w:lang w:val="en-US"/>
        </w:rPr>
        <w:t xml:space="preserve"> improves malonyl-CoA availability and increases plant polyphenol synthesis. </w:t>
      </w:r>
      <w:r w:rsidRPr="008441F8">
        <w:rPr>
          <w:rFonts w:ascii="Calibri" w:hAnsi="Calibri" w:cs="Calibri"/>
          <w:i/>
          <w:iCs/>
          <w:noProof/>
          <w:szCs w:val="24"/>
          <w:lang w:val="en-US"/>
        </w:rPr>
        <w:t>Biotechnology and Bioengineering</w:t>
      </w:r>
      <w:r w:rsidRPr="008441F8">
        <w:rPr>
          <w:rFonts w:ascii="Calibri" w:hAnsi="Calibri" w:cs="Calibri"/>
          <w:noProof/>
          <w:szCs w:val="24"/>
          <w:lang w:val="en-US"/>
        </w:rPr>
        <w:t xml:space="preserve">, </w:t>
      </w:r>
      <w:r w:rsidRPr="008441F8">
        <w:rPr>
          <w:rFonts w:ascii="Calibri" w:hAnsi="Calibri" w:cs="Calibri"/>
          <w:i/>
          <w:iCs/>
          <w:noProof/>
          <w:szCs w:val="24"/>
          <w:lang w:val="en-US"/>
        </w:rPr>
        <w:t>116</w:t>
      </w:r>
      <w:r w:rsidRPr="008441F8">
        <w:rPr>
          <w:rFonts w:ascii="Calibri" w:hAnsi="Calibri" w:cs="Calibri"/>
          <w:noProof/>
          <w:szCs w:val="24"/>
          <w:lang w:val="en-US"/>
        </w:rPr>
        <w:t>(6), 1380–1391. https://doi.org/10.1002/bit.26939</w:t>
      </w:r>
    </w:p>
    <w:p w14:paraId="74E2D986"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Nies, S. C., Alter, T. B., Nölting, S., Thiery, S., &amp; Phan, A. N. T. (2020). High titer methyl ketone production with tailored </w:t>
      </w:r>
      <w:r w:rsidRPr="008441F8">
        <w:rPr>
          <w:rFonts w:ascii="Calibri" w:hAnsi="Calibri" w:cs="Calibri"/>
          <w:i/>
          <w:iCs/>
          <w:noProof/>
          <w:szCs w:val="24"/>
          <w:lang w:val="en-US"/>
        </w:rPr>
        <w:t>Pseudomonas taiwanensis</w:t>
      </w:r>
      <w:r w:rsidRPr="008441F8">
        <w:rPr>
          <w:rFonts w:ascii="Calibri" w:hAnsi="Calibri" w:cs="Calibri"/>
          <w:noProof/>
          <w:szCs w:val="24"/>
          <w:lang w:val="en-US"/>
        </w:rPr>
        <w:t xml:space="preserve"> VLB120. </w:t>
      </w:r>
      <w:r w:rsidRPr="008441F8">
        <w:rPr>
          <w:rFonts w:ascii="Calibri" w:hAnsi="Calibri" w:cs="Calibri"/>
          <w:i/>
          <w:iCs/>
          <w:noProof/>
          <w:szCs w:val="24"/>
          <w:lang w:val="en-US"/>
        </w:rPr>
        <w:t>Metabolic Engineering</w:t>
      </w:r>
      <w:r w:rsidRPr="008441F8">
        <w:rPr>
          <w:rFonts w:ascii="Calibri" w:hAnsi="Calibri" w:cs="Calibri"/>
          <w:noProof/>
          <w:szCs w:val="24"/>
          <w:lang w:val="en-US"/>
        </w:rPr>
        <w:t xml:space="preserve">, </w:t>
      </w:r>
      <w:r w:rsidRPr="008441F8">
        <w:rPr>
          <w:rFonts w:ascii="Calibri" w:hAnsi="Calibri" w:cs="Calibri"/>
          <w:i/>
          <w:iCs/>
          <w:noProof/>
          <w:szCs w:val="24"/>
          <w:lang w:val="en-US"/>
        </w:rPr>
        <w:t>62</w:t>
      </w:r>
      <w:r w:rsidRPr="008441F8">
        <w:rPr>
          <w:rFonts w:ascii="Calibri" w:hAnsi="Calibri" w:cs="Calibri"/>
          <w:noProof/>
          <w:szCs w:val="24"/>
          <w:lang w:val="en-US"/>
        </w:rPr>
        <w:t>, 84–94. https://doi.org/10.1016/j.ymben.2020.08.003</w:t>
      </w:r>
    </w:p>
    <w:p w14:paraId="3DBFD1C1"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Otto, M. (2019). </w:t>
      </w:r>
      <w:r w:rsidRPr="008441F8">
        <w:rPr>
          <w:rFonts w:ascii="Calibri" w:hAnsi="Calibri" w:cs="Calibri"/>
          <w:i/>
          <w:iCs/>
          <w:noProof/>
          <w:szCs w:val="24"/>
          <w:lang w:val="en-US"/>
        </w:rPr>
        <w:t>Microbial catalysis of renewable resources into aromatics via the central metabolic precursor phenylalanine</w:t>
      </w:r>
      <w:r w:rsidRPr="008441F8">
        <w:rPr>
          <w:rFonts w:ascii="Calibri" w:hAnsi="Calibri" w:cs="Calibri"/>
          <w:noProof/>
          <w:szCs w:val="24"/>
          <w:lang w:val="en-US"/>
        </w:rPr>
        <w:t>.</w:t>
      </w:r>
    </w:p>
    <w:p w14:paraId="02DEBE7F"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B97427">
        <w:rPr>
          <w:rFonts w:ascii="Calibri" w:hAnsi="Calibri" w:cs="Calibri"/>
          <w:noProof/>
          <w:szCs w:val="24"/>
        </w:rPr>
        <w:t xml:space="preserve">Otto, M., Wynands, B., Lenzen, C., Filbig, M., Blank, L. M., &amp; Wierckx, N. (2019). </w:t>
      </w:r>
      <w:r w:rsidRPr="008441F8">
        <w:rPr>
          <w:rFonts w:ascii="Calibri" w:hAnsi="Calibri" w:cs="Calibri"/>
          <w:noProof/>
          <w:szCs w:val="24"/>
          <w:lang w:val="en-US"/>
        </w:rPr>
        <w:t xml:space="preserve">Rational Engineering of Phenylalanine Accumulation in </w:t>
      </w:r>
      <w:r w:rsidRPr="008441F8">
        <w:rPr>
          <w:rFonts w:ascii="Calibri" w:hAnsi="Calibri" w:cs="Calibri"/>
          <w:i/>
          <w:iCs/>
          <w:noProof/>
          <w:szCs w:val="24"/>
          <w:lang w:val="en-US"/>
        </w:rPr>
        <w:t>Pseudomonas taiwanensis</w:t>
      </w:r>
      <w:r w:rsidRPr="008441F8">
        <w:rPr>
          <w:rFonts w:ascii="Calibri" w:hAnsi="Calibri" w:cs="Calibri"/>
          <w:noProof/>
          <w:szCs w:val="24"/>
          <w:lang w:val="en-US"/>
        </w:rPr>
        <w:t xml:space="preserve"> to Enable High-Yield Production of </w:t>
      </w:r>
      <w:r w:rsidRPr="008441F8">
        <w:rPr>
          <w:rFonts w:ascii="Calibri" w:hAnsi="Calibri" w:cs="Calibri"/>
          <w:i/>
          <w:iCs/>
          <w:noProof/>
          <w:szCs w:val="24"/>
          <w:lang w:val="en-US"/>
        </w:rPr>
        <w:t>Trans</w:t>
      </w:r>
      <w:r w:rsidRPr="008441F8">
        <w:rPr>
          <w:rFonts w:ascii="Calibri" w:hAnsi="Calibri" w:cs="Calibri"/>
          <w:noProof/>
          <w:szCs w:val="24"/>
          <w:lang w:val="en-US"/>
        </w:rPr>
        <w:t xml:space="preserve">-cinnamate. </w:t>
      </w:r>
      <w:r w:rsidRPr="008441F8">
        <w:rPr>
          <w:rFonts w:ascii="Calibri" w:hAnsi="Calibri" w:cs="Calibri"/>
          <w:i/>
          <w:iCs/>
          <w:noProof/>
          <w:szCs w:val="24"/>
          <w:lang w:val="en-US"/>
        </w:rPr>
        <w:t>Frontiers in Bioengineering and Biotechnology</w:t>
      </w:r>
      <w:r w:rsidRPr="008441F8">
        <w:rPr>
          <w:rFonts w:ascii="Calibri" w:hAnsi="Calibri" w:cs="Calibri"/>
          <w:noProof/>
          <w:szCs w:val="24"/>
          <w:lang w:val="en-US"/>
        </w:rPr>
        <w:t xml:space="preserve">, </w:t>
      </w:r>
      <w:r w:rsidRPr="008441F8">
        <w:rPr>
          <w:rFonts w:ascii="Calibri" w:hAnsi="Calibri" w:cs="Calibri"/>
          <w:i/>
          <w:iCs/>
          <w:noProof/>
          <w:szCs w:val="24"/>
          <w:lang w:val="en-US"/>
        </w:rPr>
        <w:t>7</w:t>
      </w:r>
      <w:r w:rsidRPr="008441F8">
        <w:rPr>
          <w:rFonts w:ascii="Calibri" w:hAnsi="Calibri" w:cs="Calibri"/>
          <w:noProof/>
          <w:szCs w:val="24"/>
          <w:lang w:val="en-US"/>
        </w:rPr>
        <w:t>(312). https://doi.org/10.3389/fbioe.2019.00312</w:t>
      </w:r>
    </w:p>
    <w:p w14:paraId="363EB866"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Otto, M., Wynands, B., Marienhagen, J., Blank, L. M., &amp; Wierckx, N. (2020). Benzoate Synthesis from Glucose Or Glycerol Using Engineered </w:t>
      </w:r>
      <w:r w:rsidRPr="008441F8">
        <w:rPr>
          <w:rFonts w:ascii="Calibri" w:hAnsi="Calibri" w:cs="Calibri"/>
          <w:i/>
          <w:iCs/>
          <w:noProof/>
          <w:szCs w:val="24"/>
          <w:lang w:val="en-US"/>
        </w:rPr>
        <w:t>Pseudomonas taiwanensis</w:t>
      </w:r>
      <w:r w:rsidRPr="008441F8">
        <w:rPr>
          <w:rFonts w:ascii="Calibri" w:hAnsi="Calibri" w:cs="Calibri"/>
          <w:noProof/>
          <w:szCs w:val="24"/>
          <w:lang w:val="en-US"/>
        </w:rPr>
        <w:t xml:space="preserve">. </w:t>
      </w:r>
      <w:r w:rsidRPr="008441F8">
        <w:rPr>
          <w:rFonts w:ascii="Calibri" w:hAnsi="Calibri" w:cs="Calibri"/>
          <w:i/>
          <w:iCs/>
          <w:noProof/>
          <w:szCs w:val="24"/>
          <w:lang w:val="en-US"/>
        </w:rPr>
        <w:t>Biotechnology Journal</w:t>
      </w:r>
      <w:r w:rsidRPr="008441F8">
        <w:rPr>
          <w:rFonts w:ascii="Calibri" w:hAnsi="Calibri" w:cs="Calibri"/>
          <w:noProof/>
          <w:szCs w:val="24"/>
          <w:lang w:val="en-US"/>
        </w:rPr>
        <w:t xml:space="preserve">, </w:t>
      </w:r>
      <w:r w:rsidRPr="008441F8">
        <w:rPr>
          <w:rFonts w:ascii="Calibri" w:hAnsi="Calibri" w:cs="Calibri"/>
          <w:i/>
          <w:iCs/>
          <w:noProof/>
          <w:szCs w:val="24"/>
          <w:lang w:val="en-US"/>
        </w:rPr>
        <w:t>2000211</w:t>
      </w:r>
      <w:r w:rsidRPr="008441F8">
        <w:rPr>
          <w:rFonts w:ascii="Calibri" w:hAnsi="Calibri" w:cs="Calibri"/>
          <w:noProof/>
          <w:szCs w:val="24"/>
          <w:lang w:val="en-US"/>
        </w:rPr>
        <w:t>, 2000211. https://doi.org/10.1002/biot.202000211</w:t>
      </w:r>
    </w:p>
    <w:p w14:paraId="1F34E59E"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Panke, S., Witholt, B., &amp; Schmid, A. (1998). Towards a Biocatalyst for (S)-Styrene Oxide Production: Characterization of the Styrene Degradation Pathway of </w:t>
      </w:r>
      <w:r w:rsidRPr="008441F8">
        <w:rPr>
          <w:rFonts w:ascii="Calibri" w:hAnsi="Calibri" w:cs="Calibri"/>
          <w:i/>
          <w:iCs/>
          <w:noProof/>
          <w:szCs w:val="24"/>
          <w:lang w:val="en-US"/>
        </w:rPr>
        <w:t>Pseudomonas</w:t>
      </w:r>
      <w:r w:rsidRPr="008441F8">
        <w:rPr>
          <w:rFonts w:ascii="Calibri" w:hAnsi="Calibri" w:cs="Calibri"/>
          <w:noProof/>
          <w:szCs w:val="24"/>
          <w:lang w:val="en-US"/>
        </w:rPr>
        <w:t xml:space="preserve"> sp. Strain VLB120. </w:t>
      </w:r>
      <w:r w:rsidRPr="008441F8">
        <w:rPr>
          <w:rFonts w:ascii="Calibri" w:hAnsi="Calibri" w:cs="Calibri"/>
          <w:i/>
          <w:iCs/>
          <w:noProof/>
          <w:szCs w:val="24"/>
          <w:lang w:val="en-US"/>
        </w:rPr>
        <w:t>Applied and Environmental Microbiology</w:t>
      </w:r>
      <w:r w:rsidRPr="008441F8">
        <w:rPr>
          <w:rFonts w:ascii="Calibri" w:hAnsi="Calibri" w:cs="Calibri"/>
          <w:noProof/>
          <w:szCs w:val="24"/>
          <w:lang w:val="en-US"/>
        </w:rPr>
        <w:t xml:space="preserve">, </w:t>
      </w:r>
      <w:r w:rsidRPr="008441F8">
        <w:rPr>
          <w:rFonts w:ascii="Calibri" w:hAnsi="Calibri" w:cs="Calibri"/>
          <w:i/>
          <w:iCs/>
          <w:noProof/>
          <w:szCs w:val="24"/>
          <w:lang w:val="en-US"/>
        </w:rPr>
        <w:t>64</w:t>
      </w:r>
      <w:r w:rsidRPr="008441F8">
        <w:rPr>
          <w:rFonts w:ascii="Calibri" w:hAnsi="Calibri" w:cs="Calibri"/>
          <w:noProof/>
          <w:szCs w:val="24"/>
          <w:lang w:val="en-US"/>
        </w:rPr>
        <w:t>(6), 2032–2043. https://doi.org/https://doi.org/10.1128/AEM.64.6.2032-2043.1998</w:t>
      </w:r>
    </w:p>
    <w:p w14:paraId="4B59B098"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B97427">
        <w:rPr>
          <w:rFonts w:ascii="Calibri" w:hAnsi="Calibri" w:cs="Calibri"/>
          <w:noProof/>
          <w:szCs w:val="24"/>
        </w:rPr>
        <w:t xml:space="preserve">Verhoef, S., Ballerstedt, H., Volkers, R. J. M., De Winde, J. H., &amp; Ruijssenaars, </w:t>
      </w:r>
      <w:r w:rsidRPr="00B97427">
        <w:rPr>
          <w:rFonts w:ascii="Calibri" w:hAnsi="Calibri" w:cs="Calibri"/>
          <w:noProof/>
          <w:szCs w:val="24"/>
        </w:rPr>
        <w:lastRenderedPageBreak/>
        <w:t xml:space="preserve">H. J. (2010). </w:t>
      </w:r>
      <w:r w:rsidRPr="008441F8">
        <w:rPr>
          <w:rFonts w:ascii="Calibri" w:hAnsi="Calibri" w:cs="Calibri"/>
          <w:noProof/>
          <w:szCs w:val="24"/>
          <w:lang w:val="en-US"/>
        </w:rPr>
        <w:t xml:space="preserve">Comparative transcriptomics and proteomics of </w:t>
      </w:r>
      <w:r w:rsidRPr="008441F8">
        <w:rPr>
          <w:rFonts w:ascii="Calibri" w:hAnsi="Calibri" w:cs="Calibri"/>
          <w:i/>
          <w:iCs/>
          <w:noProof/>
          <w:szCs w:val="24"/>
          <w:lang w:val="en-US"/>
        </w:rPr>
        <w:t>p</w:t>
      </w:r>
      <w:r w:rsidRPr="008441F8">
        <w:rPr>
          <w:rFonts w:ascii="Calibri" w:hAnsi="Calibri" w:cs="Calibri"/>
          <w:noProof/>
          <w:szCs w:val="24"/>
          <w:lang w:val="en-US"/>
        </w:rPr>
        <w:t xml:space="preserve">-hydroxybenzoate producing </w:t>
      </w:r>
      <w:r w:rsidRPr="008441F8">
        <w:rPr>
          <w:rFonts w:ascii="Calibri" w:hAnsi="Calibri" w:cs="Calibri"/>
          <w:i/>
          <w:iCs/>
          <w:noProof/>
          <w:szCs w:val="24"/>
          <w:lang w:val="en-US"/>
        </w:rPr>
        <w:t>Pseudomonas putida</w:t>
      </w:r>
      <w:r w:rsidRPr="008441F8">
        <w:rPr>
          <w:rFonts w:ascii="Calibri" w:hAnsi="Calibri" w:cs="Calibri"/>
          <w:noProof/>
          <w:szCs w:val="24"/>
          <w:lang w:val="en-US"/>
        </w:rPr>
        <w:t xml:space="preserve"> S12: Novel responses and implications for strain improvement. </w:t>
      </w:r>
      <w:r w:rsidRPr="008441F8">
        <w:rPr>
          <w:rFonts w:ascii="Calibri" w:hAnsi="Calibri" w:cs="Calibri"/>
          <w:i/>
          <w:iCs/>
          <w:noProof/>
          <w:szCs w:val="24"/>
          <w:lang w:val="en-US"/>
        </w:rPr>
        <w:t>Applied Microbiology and Biotechnology</w:t>
      </w:r>
      <w:r w:rsidRPr="008441F8">
        <w:rPr>
          <w:rFonts w:ascii="Calibri" w:hAnsi="Calibri" w:cs="Calibri"/>
          <w:noProof/>
          <w:szCs w:val="24"/>
          <w:lang w:val="en-US"/>
        </w:rPr>
        <w:t xml:space="preserve">, </w:t>
      </w:r>
      <w:r w:rsidRPr="008441F8">
        <w:rPr>
          <w:rFonts w:ascii="Calibri" w:hAnsi="Calibri" w:cs="Calibri"/>
          <w:i/>
          <w:iCs/>
          <w:noProof/>
          <w:szCs w:val="24"/>
          <w:lang w:val="en-US"/>
        </w:rPr>
        <w:t>87</w:t>
      </w:r>
      <w:r w:rsidRPr="008441F8">
        <w:rPr>
          <w:rFonts w:ascii="Calibri" w:hAnsi="Calibri" w:cs="Calibri"/>
          <w:noProof/>
          <w:szCs w:val="24"/>
          <w:lang w:val="en-US"/>
        </w:rPr>
        <w:t>(2), 679–690. https://doi.org/10.1007/s00253-010-2626-z</w:t>
      </w:r>
    </w:p>
    <w:p w14:paraId="4AD89B06"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8441F8">
        <w:rPr>
          <w:rFonts w:ascii="Calibri" w:hAnsi="Calibri" w:cs="Calibri"/>
          <w:noProof/>
          <w:szCs w:val="24"/>
          <w:lang w:val="en-US"/>
        </w:rPr>
        <w:t xml:space="preserve">Volke, D. C., Friis, L., Wirth, N. T., Turlin, J., &amp; Nikel, P. I. (2020). Synthetic control of plasmid replication enables target- and self-curing of vectors and expedites genome engineering of </w:t>
      </w:r>
      <w:r w:rsidRPr="008441F8">
        <w:rPr>
          <w:rFonts w:ascii="Calibri" w:hAnsi="Calibri" w:cs="Calibri"/>
          <w:i/>
          <w:iCs/>
          <w:noProof/>
          <w:szCs w:val="24"/>
          <w:lang w:val="en-US"/>
        </w:rPr>
        <w:t>Pseudomonas putida</w:t>
      </w:r>
      <w:r w:rsidRPr="008441F8">
        <w:rPr>
          <w:rFonts w:ascii="Calibri" w:hAnsi="Calibri" w:cs="Calibri"/>
          <w:noProof/>
          <w:szCs w:val="24"/>
          <w:lang w:val="en-US"/>
        </w:rPr>
        <w:t xml:space="preserve">. </w:t>
      </w:r>
      <w:r w:rsidRPr="008441F8">
        <w:rPr>
          <w:rFonts w:ascii="Calibri" w:hAnsi="Calibri" w:cs="Calibri"/>
          <w:i/>
          <w:iCs/>
          <w:noProof/>
          <w:szCs w:val="24"/>
          <w:lang w:val="en-US"/>
        </w:rPr>
        <w:t>Metabolic Engineering Communications</w:t>
      </w:r>
      <w:r w:rsidRPr="008441F8">
        <w:rPr>
          <w:rFonts w:ascii="Calibri" w:hAnsi="Calibri" w:cs="Calibri"/>
          <w:noProof/>
          <w:szCs w:val="24"/>
          <w:lang w:val="en-US"/>
        </w:rPr>
        <w:t xml:space="preserve">, </w:t>
      </w:r>
      <w:r w:rsidRPr="008441F8">
        <w:rPr>
          <w:rFonts w:ascii="Calibri" w:hAnsi="Calibri" w:cs="Calibri"/>
          <w:i/>
          <w:iCs/>
          <w:noProof/>
          <w:szCs w:val="24"/>
          <w:lang w:val="en-US"/>
        </w:rPr>
        <w:t>10</w:t>
      </w:r>
      <w:r w:rsidRPr="008441F8">
        <w:rPr>
          <w:rFonts w:ascii="Calibri" w:hAnsi="Calibri" w:cs="Calibri"/>
          <w:noProof/>
          <w:szCs w:val="24"/>
          <w:lang w:val="en-US"/>
        </w:rPr>
        <w:t>(January), e00126. https://doi.org/10.1016/j.mec.2020.e00126</w:t>
      </w:r>
    </w:p>
    <w:p w14:paraId="72C00CEB" w14:textId="77777777" w:rsidR="00AE654E" w:rsidRPr="00B97427" w:rsidRDefault="00AE654E" w:rsidP="00B84A00">
      <w:pPr>
        <w:widowControl w:val="0"/>
        <w:autoSpaceDE w:val="0"/>
        <w:autoSpaceDN w:val="0"/>
        <w:adjustRightInd w:val="0"/>
        <w:spacing w:line="276" w:lineRule="auto"/>
        <w:ind w:left="480" w:hanging="480"/>
        <w:rPr>
          <w:rFonts w:ascii="Calibri" w:hAnsi="Calibri" w:cs="Calibri"/>
          <w:noProof/>
          <w:szCs w:val="24"/>
        </w:rPr>
      </w:pPr>
      <w:r w:rsidRPr="00B97427">
        <w:rPr>
          <w:rFonts w:ascii="Calibri" w:hAnsi="Calibri" w:cs="Calibri"/>
          <w:noProof/>
          <w:szCs w:val="24"/>
        </w:rPr>
        <w:t xml:space="preserve">Volke, D. C., Wirth, N. T., &amp; Nikel, P. I. (2021). </w:t>
      </w:r>
      <w:r w:rsidRPr="008441F8">
        <w:rPr>
          <w:rFonts w:ascii="Calibri" w:hAnsi="Calibri" w:cs="Calibri"/>
          <w:noProof/>
          <w:szCs w:val="24"/>
          <w:lang w:val="en-US"/>
        </w:rPr>
        <w:t xml:space="preserve">Rapid Genome Engineering of </w:t>
      </w:r>
      <w:r w:rsidRPr="008441F8">
        <w:rPr>
          <w:rFonts w:ascii="Calibri" w:hAnsi="Calibri" w:cs="Calibri"/>
          <w:i/>
          <w:iCs/>
          <w:noProof/>
          <w:szCs w:val="24"/>
          <w:lang w:val="en-US"/>
        </w:rPr>
        <w:t>Pseudomonas</w:t>
      </w:r>
      <w:r w:rsidRPr="008441F8">
        <w:rPr>
          <w:rFonts w:ascii="Calibri" w:hAnsi="Calibri" w:cs="Calibri"/>
          <w:noProof/>
          <w:szCs w:val="24"/>
          <w:lang w:val="en-US"/>
        </w:rPr>
        <w:t xml:space="preserve"> Assisted by Fluorescent Markers and Tractable Curing of Plasmids. </w:t>
      </w:r>
      <w:r w:rsidRPr="00B97427">
        <w:rPr>
          <w:rFonts w:ascii="Calibri" w:hAnsi="Calibri" w:cs="Calibri"/>
          <w:i/>
          <w:iCs/>
          <w:noProof/>
          <w:szCs w:val="24"/>
        </w:rPr>
        <w:t>Bio-Protocol</w:t>
      </w:r>
      <w:r w:rsidRPr="00B97427">
        <w:rPr>
          <w:rFonts w:ascii="Calibri" w:hAnsi="Calibri" w:cs="Calibri"/>
          <w:noProof/>
          <w:szCs w:val="24"/>
        </w:rPr>
        <w:t xml:space="preserve">, </w:t>
      </w:r>
      <w:r w:rsidRPr="00B97427">
        <w:rPr>
          <w:rFonts w:ascii="Calibri" w:hAnsi="Calibri" w:cs="Calibri"/>
          <w:i/>
          <w:iCs/>
          <w:noProof/>
          <w:szCs w:val="24"/>
        </w:rPr>
        <w:t>11</w:t>
      </w:r>
      <w:r w:rsidRPr="00B97427">
        <w:rPr>
          <w:rFonts w:ascii="Calibri" w:hAnsi="Calibri" w:cs="Calibri"/>
          <w:noProof/>
          <w:szCs w:val="24"/>
        </w:rPr>
        <w:t>(4), e3917. https://doi.org/10.21769/BioProtoc.3917</w:t>
      </w:r>
    </w:p>
    <w:p w14:paraId="4CBC881C" w14:textId="77777777" w:rsidR="00AE654E" w:rsidRPr="00B97427" w:rsidRDefault="00AE654E" w:rsidP="00B84A00">
      <w:pPr>
        <w:widowControl w:val="0"/>
        <w:autoSpaceDE w:val="0"/>
        <w:autoSpaceDN w:val="0"/>
        <w:adjustRightInd w:val="0"/>
        <w:spacing w:line="276" w:lineRule="auto"/>
        <w:ind w:left="480" w:hanging="480"/>
        <w:rPr>
          <w:rFonts w:ascii="Calibri" w:hAnsi="Calibri" w:cs="Calibri"/>
          <w:noProof/>
          <w:szCs w:val="24"/>
        </w:rPr>
      </w:pPr>
      <w:r w:rsidRPr="00B97427">
        <w:rPr>
          <w:rFonts w:ascii="Calibri" w:hAnsi="Calibri" w:cs="Calibri"/>
          <w:noProof/>
          <w:szCs w:val="24"/>
        </w:rPr>
        <w:t xml:space="preserve">Wirth, N. T., Kozaeva, E., &amp; Nikel, P. I. (2020). </w:t>
      </w:r>
      <w:r w:rsidRPr="008441F8">
        <w:rPr>
          <w:rFonts w:ascii="Calibri" w:hAnsi="Calibri" w:cs="Calibri"/>
          <w:noProof/>
          <w:szCs w:val="24"/>
          <w:lang w:val="en-US"/>
        </w:rPr>
        <w:t xml:space="preserve">Accelerated genome engineering of </w:t>
      </w:r>
      <w:r w:rsidRPr="008441F8">
        <w:rPr>
          <w:rFonts w:ascii="Calibri" w:hAnsi="Calibri" w:cs="Calibri"/>
          <w:i/>
          <w:iCs/>
          <w:noProof/>
          <w:szCs w:val="24"/>
          <w:lang w:val="en-US"/>
        </w:rPr>
        <w:t>Pseudomonas putida</w:t>
      </w:r>
      <w:r w:rsidRPr="008441F8">
        <w:rPr>
          <w:rFonts w:ascii="Calibri" w:hAnsi="Calibri" w:cs="Calibri"/>
          <w:noProof/>
          <w:szCs w:val="24"/>
          <w:lang w:val="en-US"/>
        </w:rPr>
        <w:t xml:space="preserve"> by I‐</w:t>
      </w:r>
      <w:r w:rsidRPr="008441F8">
        <w:rPr>
          <w:rFonts w:ascii="Calibri" w:hAnsi="Calibri" w:cs="Calibri"/>
          <w:i/>
          <w:iCs/>
          <w:noProof/>
          <w:szCs w:val="24"/>
          <w:lang w:val="en-US"/>
        </w:rPr>
        <w:t>Sce</w:t>
      </w:r>
      <w:r w:rsidRPr="008441F8">
        <w:rPr>
          <w:rFonts w:ascii="Calibri" w:hAnsi="Calibri" w:cs="Calibri"/>
          <w:noProof/>
          <w:szCs w:val="24"/>
          <w:lang w:val="en-US"/>
        </w:rPr>
        <w:t xml:space="preserve">I―mediated recombination and CRISPR‐Cas9 counterselection. </w:t>
      </w:r>
      <w:r w:rsidRPr="00B97427">
        <w:rPr>
          <w:rFonts w:ascii="Calibri" w:hAnsi="Calibri" w:cs="Calibri"/>
          <w:i/>
          <w:iCs/>
          <w:noProof/>
          <w:szCs w:val="24"/>
        </w:rPr>
        <w:t>Microbial Biotechnology</w:t>
      </w:r>
      <w:r w:rsidRPr="00B97427">
        <w:rPr>
          <w:rFonts w:ascii="Calibri" w:hAnsi="Calibri" w:cs="Calibri"/>
          <w:noProof/>
          <w:szCs w:val="24"/>
        </w:rPr>
        <w:t xml:space="preserve">, </w:t>
      </w:r>
      <w:r w:rsidRPr="00B97427">
        <w:rPr>
          <w:rFonts w:ascii="Calibri" w:hAnsi="Calibri" w:cs="Calibri"/>
          <w:i/>
          <w:iCs/>
          <w:noProof/>
          <w:szCs w:val="24"/>
        </w:rPr>
        <w:t>13</w:t>
      </w:r>
      <w:r w:rsidRPr="00B97427">
        <w:rPr>
          <w:rFonts w:ascii="Calibri" w:hAnsi="Calibri" w:cs="Calibri"/>
          <w:noProof/>
          <w:szCs w:val="24"/>
        </w:rPr>
        <w:t>(1), 233–249. https://doi.org/10.1111/1751-7915.13396</w:t>
      </w:r>
    </w:p>
    <w:p w14:paraId="77BE7402"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szCs w:val="24"/>
          <w:lang w:val="en-US"/>
        </w:rPr>
      </w:pPr>
      <w:r w:rsidRPr="00B97427">
        <w:rPr>
          <w:rFonts w:ascii="Calibri" w:hAnsi="Calibri" w:cs="Calibri"/>
          <w:noProof/>
          <w:szCs w:val="24"/>
        </w:rPr>
        <w:t xml:space="preserve">Wynands, B., Lenzen, C., Otto, M., Koch, F., Blank, L. M., &amp; Wierckx, N. (2018). </w:t>
      </w:r>
      <w:r w:rsidRPr="008441F8">
        <w:rPr>
          <w:rFonts w:ascii="Calibri" w:hAnsi="Calibri" w:cs="Calibri"/>
          <w:noProof/>
          <w:szCs w:val="24"/>
          <w:lang w:val="en-US"/>
        </w:rPr>
        <w:t xml:space="preserve">Metabolic engineering of </w:t>
      </w:r>
      <w:r w:rsidRPr="008441F8">
        <w:rPr>
          <w:rFonts w:ascii="Calibri" w:hAnsi="Calibri" w:cs="Calibri"/>
          <w:i/>
          <w:iCs/>
          <w:noProof/>
          <w:szCs w:val="24"/>
          <w:lang w:val="en-US"/>
        </w:rPr>
        <w:t>Pseudomonas taiwanensis</w:t>
      </w:r>
      <w:r w:rsidRPr="008441F8">
        <w:rPr>
          <w:rFonts w:ascii="Calibri" w:hAnsi="Calibri" w:cs="Calibri"/>
          <w:noProof/>
          <w:szCs w:val="24"/>
          <w:lang w:val="en-US"/>
        </w:rPr>
        <w:t xml:space="preserve"> VLB120 with minimal genomic modifications for high-yield phenol production. </w:t>
      </w:r>
      <w:r w:rsidRPr="008441F8">
        <w:rPr>
          <w:rFonts w:ascii="Calibri" w:hAnsi="Calibri" w:cs="Calibri"/>
          <w:i/>
          <w:iCs/>
          <w:noProof/>
          <w:szCs w:val="24"/>
          <w:lang w:val="en-US"/>
        </w:rPr>
        <w:t>Metabolic Engineering</w:t>
      </w:r>
      <w:r w:rsidRPr="008441F8">
        <w:rPr>
          <w:rFonts w:ascii="Calibri" w:hAnsi="Calibri" w:cs="Calibri"/>
          <w:noProof/>
          <w:szCs w:val="24"/>
          <w:lang w:val="en-US"/>
        </w:rPr>
        <w:t xml:space="preserve">, </w:t>
      </w:r>
      <w:r w:rsidRPr="008441F8">
        <w:rPr>
          <w:rFonts w:ascii="Calibri" w:hAnsi="Calibri" w:cs="Calibri"/>
          <w:i/>
          <w:iCs/>
          <w:noProof/>
          <w:szCs w:val="24"/>
          <w:lang w:val="en-US"/>
        </w:rPr>
        <w:t>47</w:t>
      </w:r>
      <w:r w:rsidRPr="008441F8">
        <w:rPr>
          <w:rFonts w:ascii="Calibri" w:hAnsi="Calibri" w:cs="Calibri"/>
          <w:noProof/>
          <w:szCs w:val="24"/>
          <w:lang w:val="en-US"/>
        </w:rPr>
        <w:t>(December 2017), 121–133. https://doi.org/10.1016/j.ymben.2018.03.011</w:t>
      </w:r>
    </w:p>
    <w:p w14:paraId="607568C3" w14:textId="77777777" w:rsidR="00AE654E" w:rsidRPr="00B97427" w:rsidRDefault="00AE654E" w:rsidP="00B84A00">
      <w:pPr>
        <w:widowControl w:val="0"/>
        <w:autoSpaceDE w:val="0"/>
        <w:autoSpaceDN w:val="0"/>
        <w:adjustRightInd w:val="0"/>
        <w:spacing w:line="276" w:lineRule="auto"/>
        <w:ind w:left="480" w:hanging="480"/>
        <w:rPr>
          <w:rFonts w:ascii="Calibri" w:hAnsi="Calibri" w:cs="Calibri"/>
          <w:noProof/>
          <w:szCs w:val="24"/>
        </w:rPr>
      </w:pPr>
      <w:r w:rsidRPr="008441F8">
        <w:rPr>
          <w:rFonts w:ascii="Calibri" w:hAnsi="Calibri" w:cs="Calibri"/>
          <w:noProof/>
          <w:szCs w:val="24"/>
          <w:lang w:val="en-US"/>
        </w:rPr>
        <w:t xml:space="preserve">Wynands, B., Otto, M., Runge, N., Preckel, S., Polen, T., Blank, L. M., &amp; </w:t>
      </w:r>
      <w:r w:rsidRPr="008441F8">
        <w:rPr>
          <w:rFonts w:ascii="Calibri" w:hAnsi="Calibri" w:cs="Calibri"/>
          <w:noProof/>
          <w:szCs w:val="24"/>
          <w:lang w:val="en-US"/>
        </w:rPr>
        <w:lastRenderedPageBreak/>
        <w:t xml:space="preserve">Wierckx, N. (2019). Streamlined </w:t>
      </w:r>
      <w:r w:rsidRPr="008441F8">
        <w:rPr>
          <w:rFonts w:ascii="Calibri" w:hAnsi="Calibri" w:cs="Calibri"/>
          <w:i/>
          <w:iCs/>
          <w:noProof/>
          <w:szCs w:val="24"/>
          <w:lang w:val="en-US"/>
        </w:rPr>
        <w:t>Pseudomonas taiwanensis</w:t>
      </w:r>
      <w:r w:rsidRPr="008441F8">
        <w:rPr>
          <w:rFonts w:ascii="Calibri" w:hAnsi="Calibri" w:cs="Calibri"/>
          <w:noProof/>
          <w:szCs w:val="24"/>
          <w:lang w:val="en-US"/>
        </w:rPr>
        <w:t xml:space="preserve"> VLB120 Chassis Strains with Improved Bioprocess Features [Research-article]. </w:t>
      </w:r>
      <w:r w:rsidRPr="00B97427">
        <w:rPr>
          <w:rFonts w:ascii="Calibri" w:hAnsi="Calibri" w:cs="Calibri"/>
          <w:i/>
          <w:iCs/>
          <w:noProof/>
          <w:szCs w:val="24"/>
        </w:rPr>
        <w:t>ACS Synthetic Biology</w:t>
      </w:r>
      <w:r w:rsidRPr="00B97427">
        <w:rPr>
          <w:rFonts w:ascii="Calibri" w:hAnsi="Calibri" w:cs="Calibri"/>
          <w:noProof/>
          <w:szCs w:val="24"/>
        </w:rPr>
        <w:t xml:space="preserve">, </w:t>
      </w:r>
      <w:r w:rsidRPr="00B97427">
        <w:rPr>
          <w:rFonts w:ascii="Calibri" w:hAnsi="Calibri" w:cs="Calibri"/>
          <w:i/>
          <w:iCs/>
          <w:noProof/>
          <w:szCs w:val="24"/>
        </w:rPr>
        <w:t>8</w:t>
      </w:r>
      <w:r w:rsidRPr="00B97427">
        <w:rPr>
          <w:rFonts w:ascii="Calibri" w:hAnsi="Calibri" w:cs="Calibri"/>
          <w:noProof/>
          <w:szCs w:val="24"/>
        </w:rPr>
        <w:t>(9), 2036–2050. https://doi.org/10.1021/acssynbio.9b00108</w:t>
      </w:r>
    </w:p>
    <w:p w14:paraId="1340DA62" w14:textId="77777777" w:rsidR="00AE654E" w:rsidRPr="008441F8" w:rsidRDefault="00AE654E" w:rsidP="00B84A00">
      <w:pPr>
        <w:widowControl w:val="0"/>
        <w:autoSpaceDE w:val="0"/>
        <w:autoSpaceDN w:val="0"/>
        <w:adjustRightInd w:val="0"/>
        <w:spacing w:line="276" w:lineRule="auto"/>
        <w:ind w:left="480" w:hanging="480"/>
        <w:rPr>
          <w:rFonts w:ascii="Calibri" w:hAnsi="Calibri" w:cs="Calibri"/>
          <w:noProof/>
          <w:lang w:val="en-US"/>
        </w:rPr>
      </w:pPr>
      <w:r w:rsidRPr="00B97427">
        <w:rPr>
          <w:rFonts w:ascii="Calibri" w:hAnsi="Calibri" w:cs="Calibri"/>
          <w:noProof/>
          <w:szCs w:val="24"/>
        </w:rPr>
        <w:t xml:space="preserve">Zobel, S., Benedetti, I., Eisenbach, L., De Lorenzo, V., Wierckx, N., &amp; Blank, L. M. (2015). </w:t>
      </w:r>
      <w:r w:rsidRPr="008441F8">
        <w:rPr>
          <w:rFonts w:ascii="Calibri" w:hAnsi="Calibri" w:cs="Calibri"/>
          <w:noProof/>
          <w:szCs w:val="24"/>
          <w:lang w:val="en-US"/>
        </w:rPr>
        <w:t xml:space="preserve">Tn7-Based Device for Calibrated Heterologous Gene Expression in </w:t>
      </w:r>
      <w:r w:rsidRPr="008441F8">
        <w:rPr>
          <w:rFonts w:ascii="Calibri" w:hAnsi="Calibri" w:cs="Calibri"/>
          <w:i/>
          <w:iCs/>
          <w:noProof/>
          <w:szCs w:val="24"/>
          <w:lang w:val="en-US"/>
        </w:rPr>
        <w:t>Pseudomonas putida</w:t>
      </w:r>
      <w:r w:rsidRPr="008441F8">
        <w:rPr>
          <w:rFonts w:ascii="Calibri" w:hAnsi="Calibri" w:cs="Calibri"/>
          <w:noProof/>
          <w:szCs w:val="24"/>
          <w:lang w:val="en-US"/>
        </w:rPr>
        <w:t xml:space="preserve">. </w:t>
      </w:r>
      <w:r w:rsidRPr="008441F8">
        <w:rPr>
          <w:rFonts w:ascii="Calibri" w:hAnsi="Calibri" w:cs="Calibri"/>
          <w:i/>
          <w:iCs/>
          <w:noProof/>
          <w:szCs w:val="24"/>
          <w:lang w:val="en-US"/>
        </w:rPr>
        <w:t>ACS Synthetic Biology</w:t>
      </w:r>
      <w:r w:rsidRPr="008441F8">
        <w:rPr>
          <w:rFonts w:ascii="Calibri" w:hAnsi="Calibri" w:cs="Calibri"/>
          <w:noProof/>
          <w:szCs w:val="24"/>
          <w:lang w:val="en-US"/>
        </w:rPr>
        <w:t xml:space="preserve">, </w:t>
      </w:r>
      <w:r w:rsidRPr="008441F8">
        <w:rPr>
          <w:rFonts w:ascii="Calibri" w:hAnsi="Calibri" w:cs="Calibri"/>
          <w:i/>
          <w:iCs/>
          <w:noProof/>
          <w:szCs w:val="24"/>
          <w:lang w:val="en-US"/>
        </w:rPr>
        <w:t>4</w:t>
      </w:r>
      <w:r w:rsidRPr="008441F8">
        <w:rPr>
          <w:rFonts w:ascii="Calibri" w:hAnsi="Calibri" w:cs="Calibri"/>
          <w:noProof/>
          <w:szCs w:val="24"/>
          <w:lang w:val="en-US"/>
        </w:rPr>
        <w:t>(12), 1341–1351. https://doi.org/10.1021/acssynbio.5b00058</w:t>
      </w:r>
    </w:p>
    <w:p w14:paraId="3A069767" w14:textId="77777777" w:rsidR="00AE654E" w:rsidRPr="008441F8" w:rsidRDefault="00AE654E" w:rsidP="00B84A00">
      <w:pPr>
        <w:spacing w:line="276" w:lineRule="auto"/>
        <w:rPr>
          <w:lang w:val="en-US"/>
        </w:rPr>
      </w:pPr>
      <w:r w:rsidRPr="008441F8">
        <w:rPr>
          <w:lang w:val="en-US"/>
        </w:rPr>
        <w:fldChar w:fldCharType="end"/>
      </w:r>
    </w:p>
    <w:p w14:paraId="3B8AB994" w14:textId="77777777" w:rsidR="004164A6" w:rsidRPr="002A6BF2" w:rsidRDefault="004164A6" w:rsidP="00B84A00">
      <w:pPr>
        <w:spacing w:line="276" w:lineRule="auto"/>
        <w:jc w:val="both"/>
        <w:rPr>
          <w:lang w:val="en-US"/>
        </w:rPr>
      </w:pPr>
    </w:p>
    <w:sectPr w:rsidR="004164A6" w:rsidRPr="002A6BF2">
      <w:headerReference w:type="default" r:id="rId39"/>
      <w:foot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546C7" w14:textId="77777777" w:rsidR="0088211E" w:rsidRDefault="0088211E">
      <w:pPr>
        <w:spacing w:after="0" w:line="240" w:lineRule="auto"/>
      </w:pPr>
      <w:r>
        <w:separator/>
      </w:r>
    </w:p>
  </w:endnote>
  <w:endnote w:type="continuationSeparator" w:id="0">
    <w:p w14:paraId="5774ECFB" w14:textId="77777777" w:rsidR="0088211E" w:rsidRDefault="0088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367291"/>
      <w:docPartObj>
        <w:docPartGallery w:val="Page Numbers (Bottom of Page)"/>
        <w:docPartUnique/>
      </w:docPartObj>
    </w:sdtPr>
    <w:sdtEndPr/>
    <w:sdtContent>
      <w:p w14:paraId="77B6F206" w14:textId="18AC8420" w:rsidR="00A12EF3" w:rsidRDefault="00A12EF3">
        <w:pPr>
          <w:pStyle w:val="Fuzeile"/>
          <w:jc w:val="center"/>
        </w:pPr>
        <w:r>
          <w:fldChar w:fldCharType="begin"/>
        </w:r>
        <w:r>
          <w:instrText>PAGE   \* MERGEFORMAT</w:instrText>
        </w:r>
        <w:r>
          <w:fldChar w:fldCharType="separate"/>
        </w:r>
        <w:r w:rsidR="00727C55">
          <w:rPr>
            <w:noProof/>
          </w:rPr>
          <w:t>1</w:t>
        </w:r>
        <w:r>
          <w:fldChar w:fldCharType="end"/>
        </w:r>
      </w:p>
    </w:sdtContent>
  </w:sdt>
  <w:p w14:paraId="406FC3CB" w14:textId="77777777" w:rsidR="00A12EF3" w:rsidRDefault="00A12EF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622548"/>
      <w:docPartObj>
        <w:docPartGallery w:val="Page Numbers (Bottom of Page)"/>
        <w:docPartUnique/>
      </w:docPartObj>
    </w:sdtPr>
    <w:sdtEndPr/>
    <w:sdtContent>
      <w:p w14:paraId="7726206E" w14:textId="2530497B" w:rsidR="00AE654E" w:rsidRDefault="00AE654E">
        <w:pPr>
          <w:pStyle w:val="Fuzeile"/>
          <w:jc w:val="center"/>
        </w:pPr>
        <w:r>
          <w:fldChar w:fldCharType="begin"/>
        </w:r>
        <w:r>
          <w:instrText>PAGE   \* MERGEFORMAT</w:instrText>
        </w:r>
        <w:r>
          <w:fldChar w:fldCharType="separate"/>
        </w:r>
        <w:r w:rsidR="000728AE">
          <w:rPr>
            <w:noProof/>
          </w:rPr>
          <w:t>32</w:t>
        </w:r>
        <w:r>
          <w:fldChar w:fldCharType="end"/>
        </w:r>
      </w:p>
    </w:sdtContent>
  </w:sdt>
  <w:p w14:paraId="0CB7192B" w14:textId="77777777" w:rsidR="00AE654E" w:rsidRDefault="00AE654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865617"/>
      <w:docPartObj>
        <w:docPartGallery w:val="Page Numbers (Bottom of Page)"/>
        <w:docPartUnique/>
      </w:docPartObj>
    </w:sdtPr>
    <w:sdtEndPr/>
    <w:sdtContent>
      <w:p w14:paraId="3291DC6E" w14:textId="1C1E279E" w:rsidR="00AE654E" w:rsidRDefault="00AE654E">
        <w:pPr>
          <w:pStyle w:val="Fuzeile"/>
          <w:jc w:val="center"/>
        </w:pPr>
        <w:r>
          <w:fldChar w:fldCharType="begin"/>
        </w:r>
        <w:r>
          <w:instrText>PAGE   \* MERGEFORMAT</w:instrText>
        </w:r>
        <w:r>
          <w:fldChar w:fldCharType="separate"/>
        </w:r>
        <w:r w:rsidR="000728AE">
          <w:rPr>
            <w:noProof/>
          </w:rPr>
          <w:t>38</w:t>
        </w:r>
        <w:r>
          <w:fldChar w:fldCharType="end"/>
        </w:r>
      </w:p>
    </w:sdtContent>
  </w:sdt>
  <w:p w14:paraId="20C24300" w14:textId="77777777" w:rsidR="00AE654E" w:rsidRDefault="00AE654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04883"/>
      <w:docPartObj>
        <w:docPartGallery w:val="Page Numbers (Bottom of Page)"/>
        <w:docPartUnique/>
      </w:docPartObj>
    </w:sdtPr>
    <w:sdtEndPr/>
    <w:sdtContent>
      <w:p w14:paraId="4992F7F7" w14:textId="7D166371" w:rsidR="00AE654E" w:rsidRDefault="00AE654E">
        <w:pPr>
          <w:pStyle w:val="Fuzeile"/>
          <w:jc w:val="center"/>
        </w:pPr>
        <w:r>
          <w:fldChar w:fldCharType="begin"/>
        </w:r>
        <w:r>
          <w:instrText>PAGE   \* MERGEFORMAT</w:instrText>
        </w:r>
        <w:r>
          <w:fldChar w:fldCharType="separate"/>
        </w:r>
        <w:r w:rsidR="000728AE">
          <w:rPr>
            <w:noProof/>
          </w:rPr>
          <w:t>52</w:t>
        </w:r>
        <w:r>
          <w:fldChar w:fldCharType="end"/>
        </w:r>
      </w:p>
    </w:sdtContent>
  </w:sdt>
  <w:p w14:paraId="263F9A4B" w14:textId="77777777" w:rsidR="00AE654E" w:rsidRDefault="00AE654E">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594465"/>
      <w:docPartObj>
        <w:docPartGallery w:val="Page Numbers (Bottom of Page)"/>
        <w:docPartUnique/>
      </w:docPartObj>
    </w:sdtPr>
    <w:sdtEndPr/>
    <w:sdtContent>
      <w:p w14:paraId="1455F562" w14:textId="7BD42D92" w:rsidR="00AE654E" w:rsidRDefault="00AE654E">
        <w:pPr>
          <w:pStyle w:val="Fuzeile"/>
          <w:jc w:val="center"/>
        </w:pPr>
        <w:r>
          <w:fldChar w:fldCharType="begin"/>
        </w:r>
        <w:r>
          <w:instrText>PAGE   \* MERGEFORMAT</w:instrText>
        </w:r>
        <w:r>
          <w:fldChar w:fldCharType="separate"/>
        </w:r>
        <w:r w:rsidR="000728AE">
          <w:rPr>
            <w:noProof/>
          </w:rPr>
          <w:t>53</w:t>
        </w:r>
        <w:r>
          <w:fldChar w:fldCharType="end"/>
        </w:r>
      </w:p>
    </w:sdtContent>
  </w:sdt>
  <w:p w14:paraId="40B36F04" w14:textId="77777777" w:rsidR="00AE654E" w:rsidRDefault="00AE654E">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960574"/>
      <w:docPartObj>
        <w:docPartGallery w:val="Page Numbers (Bottom of Page)"/>
        <w:docPartUnique/>
      </w:docPartObj>
    </w:sdtPr>
    <w:sdtEndPr/>
    <w:sdtContent>
      <w:p w14:paraId="5EE1A4BF" w14:textId="7B7965EE" w:rsidR="008441F8" w:rsidRDefault="009F7FC0">
        <w:pPr>
          <w:pStyle w:val="Fuzeile"/>
          <w:jc w:val="center"/>
        </w:pPr>
        <w:r>
          <w:fldChar w:fldCharType="begin"/>
        </w:r>
        <w:r>
          <w:instrText>PAGE   \* MERGEFORMAT</w:instrText>
        </w:r>
        <w:r>
          <w:fldChar w:fldCharType="separate"/>
        </w:r>
        <w:r w:rsidR="000728AE">
          <w:rPr>
            <w:noProof/>
          </w:rPr>
          <w:t>56</w:t>
        </w:r>
        <w:r>
          <w:fldChar w:fldCharType="end"/>
        </w:r>
      </w:p>
    </w:sdtContent>
  </w:sdt>
  <w:p w14:paraId="117A2DD3" w14:textId="77777777" w:rsidR="008441F8" w:rsidRDefault="008821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8CD16" w14:textId="77777777" w:rsidR="0088211E" w:rsidRDefault="0088211E">
      <w:pPr>
        <w:spacing w:after="0" w:line="240" w:lineRule="auto"/>
      </w:pPr>
      <w:r>
        <w:separator/>
      </w:r>
    </w:p>
  </w:footnote>
  <w:footnote w:type="continuationSeparator" w:id="0">
    <w:p w14:paraId="43348ED2" w14:textId="77777777" w:rsidR="0088211E" w:rsidRDefault="00882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F317F" w14:textId="486D3F55" w:rsidR="00A12EF3" w:rsidRDefault="00A12EF3">
    <w:pPr>
      <w:pStyle w:val="Kopfzeile"/>
    </w:pPr>
    <w:r>
      <w:t>Schwanemann 2023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E03C7" w14:textId="77777777" w:rsidR="00AE654E" w:rsidRPr="000852A4" w:rsidRDefault="00AE654E">
    <w:pPr>
      <w:pStyle w:val="Kopfzeile"/>
      <w:rPr>
        <w:lang w:val="en-GB"/>
      </w:rPr>
    </w:pPr>
    <w:r w:rsidRPr="000852A4">
      <w:rPr>
        <w:lang w:val="en-GB"/>
      </w:rPr>
      <w:t>Supplement</w:t>
    </w:r>
    <w:r>
      <w:rPr>
        <w:lang w:val="en-GB"/>
      </w:rPr>
      <w:t>ary</w:t>
    </w:r>
    <w:r w:rsidRPr="000852A4">
      <w:rPr>
        <w:lang w:val="en-GB"/>
      </w:rPr>
      <w:t xml:space="preserve"> Schwanemann</w:t>
    </w:r>
    <w:r>
      <w:rPr>
        <w:lang w:val="en-GB"/>
      </w:rPr>
      <w:t xml:space="preserve"> </w:t>
    </w:r>
    <w:r w:rsidRPr="00611945">
      <w:rPr>
        <w:i/>
        <w:iCs/>
        <w:lang w:val="en-GB"/>
      </w:rPr>
      <w:t>et al</w:t>
    </w:r>
    <w:r>
      <w:rPr>
        <w:lang w:val="en-GB"/>
      </w:rPr>
      <w:t>.</w:t>
    </w:r>
    <w:r w:rsidRPr="000852A4">
      <w:rPr>
        <w:lang w:val="en-GB"/>
      </w:rPr>
      <w:t xml:space="preserve"> 202</w:t>
    </w:r>
    <w:r>
      <w:rPr>
        <w:lang w:val="en-GB"/>
      </w:rPr>
      <w:t>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D0019" w14:textId="77777777" w:rsidR="00AE654E" w:rsidRPr="000852A4" w:rsidRDefault="00AE654E">
    <w:pPr>
      <w:pStyle w:val="Kopfzeile"/>
      <w:rPr>
        <w:lang w:val="en-GB"/>
      </w:rPr>
    </w:pPr>
    <w:r w:rsidRPr="000852A4">
      <w:rPr>
        <w:lang w:val="en-GB"/>
      </w:rPr>
      <w:t>Supplement</w:t>
    </w:r>
    <w:r>
      <w:rPr>
        <w:lang w:val="en-GB"/>
      </w:rPr>
      <w:t>ary</w:t>
    </w:r>
    <w:r w:rsidRPr="000852A4">
      <w:rPr>
        <w:lang w:val="en-GB"/>
      </w:rPr>
      <w:t xml:space="preserve"> Schwanemann</w:t>
    </w:r>
    <w:r>
      <w:rPr>
        <w:lang w:val="en-GB"/>
      </w:rPr>
      <w:t xml:space="preserve"> </w:t>
    </w:r>
    <w:r w:rsidRPr="00611945">
      <w:rPr>
        <w:i/>
        <w:iCs/>
        <w:lang w:val="en-GB"/>
      </w:rPr>
      <w:t>et al</w:t>
    </w:r>
    <w:r>
      <w:rPr>
        <w:lang w:val="en-GB"/>
      </w:rPr>
      <w:t>.</w:t>
    </w:r>
    <w:r w:rsidRPr="000852A4">
      <w:rPr>
        <w:lang w:val="en-GB"/>
      </w:rPr>
      <w:t xml:space="preserve"> 202</w:t>
    </w:r>
    <w:r>
      <w:rPr>
        <w:lang w:val="en-GB"/>
      </w:rPr>
      <w:t>3</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2E14" w14:textId="77777777" w:rsidR="00AE654E" w:rsidRPr="003D3BCA" w:rsidRDefault="00AE654E" w:rsidP="003D3BCA">
    <w:pPr>
      <w:pStyle w:val="Kopfzeile"/>
      <w:rPr>
        <w:lang w:val="en-GB"/>
      </w:rPr>
    </w:pPr>
    <w:r w:rsidRPr="000852A4">
      <w:rPr>
        <w:lang w:val="en-GB"/>
      </w:rPr>
      <w:t>Supplement</w:t>
    </w:r>
    <w:r>
      <w:rPr>
        <w:lang w:val="en-GB"/>
      </w:rPr>
      <w:t>ary</w:t>
    </w:r>
    <w:r w:rsidRPr="000852A4">
      <w:rPr>
        <w:lang w:val="en-GB"/>
      </w:rPr>
      <w:t xml:space="preserve"> Schwanemann</w:t>
    </w:r>
    <w:r>
      <w:rPr>
        <w:lang w:val="en-GB"/>
      </w:rPr>
      <w:t xml:space="preserve"> </w:t>
    </w:r>
    <w:r w:rsidRPr="00611945">
      <w:rPr>
        <w:i/>
        <w:iCs/>
        <w:lang w:val="en-GB"/>
      </w:rPr>
      <w:t>et al</w:t>
    </w:r>
    <w:r>
      <w:rPr>
        <w:lang w:val="en-GB"/>
      </w:rPr>
      <w:t>.</w:t>
    </w:r>
    <w:r w:rsidRPr="000852A4">
      <w:rPr>
        <w:lang w:val="en-GB"/>
      </w:rPr>
      <w:t xml:space="preserve"> 202</w:t>
    </w:r>
    <w:r>
      <w:rPr>
        <w:lang w:val="en-GB"/>
      </w:rPr>
      <w:t>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8A4FD" w14:textId="77777777" w:rsidR="00AE654E" w:rsidRPr="00C41697" w:rsidRDefault="00AE654E" w:rsidP="00C41697">
    <w:pPr>
      <w:pStyle w:val="Kopfzeile"/>
      <w:rPr>
        <w:lang w:val="en-GB"/>
      </w:rPr>
    </w:pPr>
    <w:r w:rsidRPr="000852A4">
      <w:rPr>
        <w:lang w:val="en-GB"/>
      </w:rPr>
      <w:t>Supplement</w:t>
    </w:r>
    <w:r>
      <w:rPr>
        <w:lang w:val="en-GB"/>
      </w:rPr>
      <w:t>ary</w:t>
    </w:r>
    <w:r w:rsidRPr="000852A4">
      <w:rPr>
        <w:lang w:val="en-GB"/>
      </w:rPr>
      <w:t xml:space="preserve"> Schwanemann</w:t>
    </w:r>
    <w:r>
      <w:rPr>
        <w:lang w:val="en-GB"/>
      </w:rPr>
      <w:t xml:space="preserve"> </w:t>
    </w:r>
    <w:r w:rsidRPr="00611945">
      <w:rPr>
        <w:i/>
        <w:iCs/>
        <w:lang w:val="en-GB"/>
      </w:rPr>
      <w:t>et al</w:t>
    </w:r>
    <w:r>
      <w:rPr>
        <w:lang w:val="en-GB"/>
      </w:rPr>
      <w:t>.</w:t>
    </w:r>
    <w:r w:rsidRPr="000852A4">
      <w:rPr>
        <w:lang w:val="en-GB"/>
      </w:rPr>
      <w:t xml:space="preserve"> 202</w:t>
    </w:r>
    <w:r>
      <w:rPr>
        <w:lang w:val="en-GB"/>
      </w:rPr>
      <w:t>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7E2E6" w14:textId="77777777" w:rsidR="008441F8" w:rsidRPr="00C41697" w:rsidRDefault="009F7FC0" w:rsidP="00C41697">
    <w:pPr>
      <w:pStyle w:val="Kopfzeile"/>
      <w:rPr>
        <w:lang w:val="en-GB"/>
      </w:rPr>
    </w:pPr>
    <w:r w:rsidRPr="000852A4">
      <w:rPr>
        <w:lang w:val="en-GB"/>
      </w:rPr>
      <w:t>Supplement</w:t>
    </w:r>
    <w:r>
      <w:rPr>
        <w:lang w:val="en-GB"/>
      </w:rPr>
      <w:t>ary</w:t>
    </w:r>
    <w:r w:rsidRPr="000852A4">
      <w:rPr>
        <w:lang w:val="en-GB"/>
      </w:rPr>
      <w:t xml:space="preserve"> Schwanemann</w:t>
    </w:r>
    <w:r>
      <w:rPr>
        <w:lang w:val="en-GB"/>
      </w:rPr>
      <w:t xml:space="preserve"> </w:t>
    </w:r>
    <w:r w:rsidRPr="00611945">
      <w:rPr>
        <w:i/>
        <w:iCs/>
        <w:lang w:val="en-GB"/>
      </w:rPr>
      <w:t>et al</w:t>
    </w:r>
    <w:r>
      <w:rPr>
        <w:lang w:val="en-GB"/>
      </w:rPr>
      <w:t>.</w:t>
    </w:r>
    <w:r w:rsidRPr="000852A4">
      <w:rPr>
        <w:lang w:val="en-GB"/>
      </w:rPr>
      <w:t xml:space="preserve"> 202</w:t>
    </w:r>
    <w:r>
      <w:rPr>
        <w:lang w:val="en-GB"/>
      </w:rPr>
      <w:t>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774FBC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3555EDA"/>
    <w:multiLevelType w:val="hybridMultilevel"/>
    <w:tmpl w:val="37AC3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312FE"/>
    <w:multiLevelType w:val="hybridMultilevel"/>
    <w:tmpl w:val="A4A003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D574B03"/>
    <w:multiLevelType w:val="hybridMultilevel"/>
    <w:tmpl w:val="F19C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F54F6"/>
    <w:multiLevelType w:val="hybridMultilevel"/>
    <w:tmpl w:val="59EE8292"/>
    <w:lvl w:ilvl="0" w:tplc="AE04533E">
      <w:start w:val="1"/>
      <w:numFmt w:val="bullet"/>
      <w:lvlText w:val="•"/>
      <w:lvlJc w:val="left"/>
      <w:pPr>
        <w:tabs>
          <w:tab w:val="num" w:pos="720"/>
        </w:tabs>
        <w:ind w:left="720" w:hanging="360"/>
      </w:pPr>
      <w:rPr>
        <w:rFonts w:ascii="Times New Roman" w:hAnsi="Times New Roman" w:hint="default"/>
      </w:rPr>
    </w:lvl>
    <w:lvl w:ilvl="1" w:tplc="F306AF8E" w:tentative="1">
      <w:start w:val="1"/>
      <w:numFmt w:val="bullet"/>
      <w:lvlText w:val="•"/>
      <w:lvlJc w:val="left"/>
      <w:pPr>
        <w:tabs>
          <w:tab w:val="num" w:pos="1440"/>
        </w:tabs>
        <w:ind w:left="1440" w:hanging="360"/>
      </w:pPr>
      <w:rPr>
        <w:rFonts w:ascii="Times New Roman" w:hAnsi="Times New Roman" w:hint="default"/>
      </w:rPr>
    </w:lvl>
    <w:lvl w:ilvl="2" w:tplc="4F4EBB00" w:tentative="1">
      <w:start w:val="1"/>
      <w:numFmt w:val="bullet"/>
      <w:lvlText w:val="•"/>
      <w:lvlJc w:val="left"/>
      <w:pPr>
        <w:tabs>
          <w:tab w:val="num" w:pos="2160"/>
        </w:tabs>
        <w:ind w:left="2160" w:hanging="360"/>
      </w:pPr>
      <w:rPr>
        <w:rFonts w:ascii="Times New Roman" w:hAnsi="Times New Roman" w:hint="default"/>
      </w:rPr>
    </w:lvl>
    <w:lvl w:ilvl="3" w:tplc="723A8144" w:tentative="1">
      <w:start w:val="1"/>
      <w:numFmt w:val="bullet"/>
      <w:lvlText w:val="•"/>
      <w:lvlJc w:val="left"/>
      <w:pPr>
        <w:tabs>
          <w:tab w:val="num" w:pos="2880"/>
        </w:tabs>
        <w:ind w:left="2880" w:hanging="360"/>
      </w:pPr>
      <w:rPr>
        <w:rFonts w:ascii="Times New Roman" w:hAnsi="Times New Roman" w:hint="default"/>
      </w:rPr>
    </w:lvl>
    <w:lvl w:ilvl="4" w:tplc="A416906E" w:tentative="1">
      <w:start w:val="1"/>
      <w:numFmt w:val="bullet"/>
      <w:lvlText w:val="•"/>
      <w:lvlJc w:val="left"/>
      <w:pPr>
        <w:tabs>
          <w:tab w:val="num" w:pos="3600"/>
        </w:tabs>
        <w:ind w:left="3600" w:hanging="360"/>
      </w:pPr>
      <w:rPr>
        <w:rFonts w:ascii="Times New Roman" w:hAnsi="Times New Roman" w:hint="default"/>
      </w:rPr>
    </w:lvl>
    <w:lvl w:ilvl="5" w:tplc="5DB210B6" w:tentative="1">
      <w:start w:val="1"/>
      <w:numFmt w:val="bullet"/>
      <w:lvlText w:val="•"/>
      <w:lvlJc w:val="left"/>
      <w:pPr>
        <w:tabs>
          <w:tab w:val="num" w:pos="4320"/>
        </w:tabs>
        <w:ind w:left="4320" w:hanging="360"/>
      </w:pPr>
      <w:rPr>
        <w:rFonts w:ascii="Times New Roman" w:hAnsi="Times New Roman" w:hint="default"/>
      </w:rPr>
    </w:lvl>
    <w:lvl w:ilvl="6" w:tplc="6A5CDF70" w:tentative="1">
      <w:start w:val="1"/>
      <w:numFmt w:val="bullet"/>
      <w:lvlText w:val="•"/>
      <w:lvlJc w:val="left"/>
      <w:pPr>
        <w:tabs>
          <w:tab w:val="num" w:pos="5040"/>
        </w:tabs>
        <w:ind w:left="5040" w:hanging="360"/>
      </w:pPr>
      <w:rPr>
        <w:rFonts w:ascii="Times New Roman" w:hAnsi="Times New Roman" w:hint="default"/>
      </w:rPr>
    </w:lvl>
    <w:lvl w:ilvl="7" w:tplc="7D50FD8A" w:tentative="1">
      <w:start w:val="1"/>
      <w:numFmt w:val="bullet"/>
      <w:lvlText w:val="•"/>
      <w:lvlJc w:val="left"/>
      <w:pPr>
        <w:tabs>
          <w:tab w:val="num" w:pos="5760"/>
        </w:tabs>
        <w:ind w:left="5760" w:hanging="360"/>
      </w:pPr>
      <w:rPr>
        <w:rFonts w:ascii="Times New Roman" w:hAnsi="Times New Roman" w:hint="default"/>
      </w:rPr>
    </w:lvl>
    <w:lvl w:ilvl="8" w:tplc="3D4A9F2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5F35D7A"/>
    <w:multiLevelType w:val="hybridMultilevel"/>
    <w:tmpl w:val="A99422B6"/>
    <w:lvl w:ilvl="0" w:tplc="FA227F1A">
      <w:start w:val="1"/>
      <w:numFmt w:val="bullet"/>
      <w:lvlText w:val="•"/>
      <w:lvlJc w:val="left"/>
      <w:pPr>
        <w:tabs>
          <w:tab w:val="num" w:pos="720"/>
        </w:tabs>
        <w:ind w:left="720" w:hanging="360"/>
      </w:pPr>
      <w:rPr>
        <w:rFonts w:ascii="Times New Roman" w:hAnsi="Times New Roman" w:hint="default"/>
      </w:rPr>
    </w:lvl>
    <w:lvl w:ilvl="1" w:tplc="6B4842E6" w:tentative="1">
      <w:start w:val="1"/>
      <w:numFmt w:val="bullet"/>
      <w:lvlText w:val="•"/>
      <w:lvlJc w:val="left"/>
      <w:pPr>
        <w:tabs>
          <w:tab w:val="num" w:pos="1440"/>
        </w:tabs>
        <w:ind w:left="1440" w:hanging="360"/>
      </w:pPr>
      <w:rPr>
        <w:rFonts w:ascii="Times New Roman" w:hAnsi="Times New Roman" w:hint="default"/>
      </w:rPr>
    </w:lvl>
    <w:lvl w:ilvl="2" w:tplc="C05E72DE" w:tentative="1">
      <w:start w:val="1"/>
      <w:numFmt w:val="bullet"/>
      <w:lvlText w:val="•"/>
      <w:lvlJc w:val="left"/>
      <w:pPr>
        <w:tabs>
          <w:tab w:val="num" w:pos="2160"/>
        </w:tabs>
        <w:ind w:left="2160" w:hanging="360"/>
      </w:pPr>
      <w:rPr>
        <w:rFonts w:ascii="Times New Roman" w:hAnsi="Times New Roman" w:hint="default"/>
      </w:rPr>
    </w:lvl>
    <w:lvl w:ilvl="3" w:tplc="1CD8FC36" w:tentative="1">
      <w:start w:val="1"/>
      <w:numFmt w:val="bullet"/>
      <w:lvlText w:val="•"/>
      <w:lvlJc w:val="left"/>
      <w:pPr>
        <w:tabs>
          <w:tab w:val="num" w:pos="2880"/>
        </w:tabs>
        <w:ind w:left="2880" w:hanging="360"/>
      </w:pPr>
      <w:rPr>
        <w:rFonts w:ascii="Times New Roman" w:hAnsi="Times New Roman" w:hint="default"/>
      </w:rPr>
    </w:lvl>
    <w:lvl w:ilvl="4" w:tplc="30021CE8" w:tentative="1">
      <w:start w:val="1"/>
      <w:numFmt w:val="bullet"/>
      <w:lvlText w:val="•"/>
      <w:lvlJc w:val="left"/>
      <w:pPr>
        <w:tabs>
          <w:tab w:val="num" w:pos="3600"/>
        </w:tabs>
        <w:ind w:left="3600" w:hanging="360"/>
      </w:pPr>
      <w:rPr>
        <w:rFonts w:ascii="Times New Roman" w:hAnsi="Times New Roman" w:hint="default"/>
      </w:rPr>
    </w:lvl>
    <w:lvl w:ilvl="5" w:tplc="3D44C0B0" w:tentative="1">
      <w:start w:val="1"/>
      <w:numFmt w:val="bullet"/>
      <w:lvlText w:val="•"/>
      <w:lvlJc w:val="left"/>
      <w:pPr>
        <w:tabs>
          <w:tab w:val="num" w:pos="4320"/>
        </w:tabs>
        <w:ind w:left="4320" w:hanging="360"/>
      </w:pPr>
      <w:rPr>
        <w:rFonts w:ascii="Times New Roman" w:hAnsi="Times New Roman" w:hint="default"/>
      </w:rPr>
    </w:lvl>
    <w:lvl w:ilvl="6" w:tplc="C51C4AB6" w:tentative="1">
      <w:start w:val="1"/>
      <w:numFmt w:val="bullet"/>
      <w:lvlText w:val="•"/>
      <w:lvlJc w:val="left"/>
      <w:pPr>
        <w:tabs>
          <w:tab w:val="num" w:pos="5040"/>
        </w:tabs>
        <w:ind w:left="5040" w:hanging="360"/>
      </w:pPr>
      <w:rPr>
        <w:rFonts w:ascii="Times New Roman" w:hAnsi="Times New Roman" w:hint="default"/>
      </w:rPr>
    </w:lvl>
    <w:lvl w:ilvl="7" w:tplc="7F3CBE12" w:tentative="1">
      <w:start w:val="1"/>
      <w:numFmt w:val="bullet"/>
      <w:lvlText w:val="•"/>
      <w:lvlJc w:val="left"/>
      <w:pPr>
        <w:tabs>
          <w:tab w:val="num" w:pos="5760"/>
        </w:tabs>
        <w:ind w:left="5760" w:hanging="360"/>
      </w:pPr>
      <w:rPr>
        <w:rFonts w:ascii="Times New Roman" w:hAnsi="Times New Roman" w:hint="default"/>
      </w:rPr>
    </w:lvl>
    <w:lvl w:ilvl="8" w:tplc="43D847C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4C19CE"/>
    <w:multiLevelType w:val="hybridMultilevel"/>
    <w:tmpl w:val="49629D3C"/>
    <w:lvl w:ilvl="0" w:tplc="90EAF5DC">
      <w:start w:val="1"/>
      <w:numFmt w:val="bullet"/>
      <w:lvlText w:val="•"/>
      <w:lvlJc w:val="left"/>
      <w:pPr>
        <w:tabs>
          <w:tab w:val="num" w:pos="720"/>
        </w:tabs>
        <w:ind w:left="720" w:hanging="360"/>
      </w:pPr>
      <w:rPr>
        <w:rFonts w:ascii="Times New Roman" w:hAnsi="Times New Roman" w:hint="default"/>
      </w:rPr>
    </w:lvl>
    <w:lvl w:ilvl="1" w:tplc="7BF27696" w:tentative="1">
      <w:start w:val="1"/>
      <w:numFmt w:val="bullet"/>
      <w:lvlText w:val="•"/>
      <w:lvlJc w:val="left"/>
      <w:pPr>
        <w:tabs>
          <w:tab w:val="num" w:pos="1440"/>
        </w:tabs>
        <w:ind w:left="1440" w:hanging="360"/>
      </w:pPr>
      <w:rPr>
        <w:rFonts w:ascii="Times New Roman" w:hAnsi="Times New Roman" w:hint="default"/>
      </w:rPr>
    </w:lvl>
    <w:lvl w:ilvl="2" w:tplc="F5A8CE86" w:tentative="1">
      <w:start w:val="1"/>
      <w:numFmt w:val="bullet"/>
      <w:lvlText w:val="•"/>
      <w:lvlJc w:val="left"/>
      <w:pPr>
        <w:tabs>
          <w:tab w:val="num" w:pos="2160"/>
        </w:tabs>
        <w:ind w:left="2160" w:hanging="360"/>
      </w:pPr>
      <w:rPr>
        <w:rFonts w:ascii="Times New Roman" w:hAnsi="Times New Roman" w:hint="default"/>
      </w:rPr>
    </w:lvl>
    <w:lvl w:ilvl="3" w:tplc="6E981A54" w:tentative="1">
      <w:start w:val="1"/>
      <w:numFmt w:val="bullet"/>
      <w:lvlText w:val="•"/>
      <w:lvlJc w:val="left"/>
      <w:pPr>
        <w:tabs>
          <w:tab w:val="num" w:pos="2880"/>
        </w:tabs>
        <w:ind w:left="2880" w:hanging="360"/>
      </w:pPr>
      <w:rPr>
        <w:rFonts w:ascii="Times New Roman" w:hAnsi="Times New Roman" w:hint="default"/>
      </w:rPr>
    </w:lvl>
    <w:lvl w:ilvl="4" w:tplc="6A7EEEBC" w:tentative="1">
      <w:start w:val="1"/>
      <w:numFmt w:val="bullet"/>
      <w:lvlText w:val="•"/>
      <w:lvlJc w:val="left"/>
      <w:pPr>
        <w:tabs>
          <w:tab w:val="num" w:pos="3600"/>
        </w:tabs>
        <w:ind w:left="3600" w:hanging="360"/>
      </w:pPr>
      <w:rPr>
        <w:rFonts w:ascii="Times New Roman" w:hAnsi="Times New Roman" w:hint="default"/>
      </w:rPr>
    </w:lvl>
    <w:lvl w:ilvl="5" w:tplc="2634E05C" w:tentative="1">
      <w:start w:val="1"/>
      <w:numFmt w:val="bullet"/>
      <w:lvlText w:val="•"/>
      <w:lvlJc w:val="left"/>
      <w:pPr>
        <w:tabs>
          <w:tab w:val="num" w:pos="4320"/>
        </w:tabs>
        <w:ind w:left="4320" w:hanging="360"/>
      </w:pPr>
      <w:rPr>
        <w:rFonts w:ascii="Times New Roman" w:hAnsi="Times New Roman" w:hint="default"/>
      </w:rPr>
    </w:lvl>
    <w:lvl w:ilvl="6" w:tplc="C21AF606" w:tentative="1">
      <w:start w:val="1"/>
      <w:numFmt w:val="bullet"/>
      <w:lvlText w:val="•"/>
      <w:lvlJc w:val="left"/>
      <w:pPr>
        <w:tabs>
          <w:tab w:val="num" w:pos="5040"/>
        </w:tabs>
        <w:ind w:left="5040" w:hanging="360"/>
      </w:pPr>
      <w:rPr>
        <w:rFonts w:ascii="Times New Roman" w:hAnsi="Times New Roman" w:hint="default"/>
      </w:rPr>
    </w:lvl>
    <w:lvl w:ilvl="7" w:tplc="D6FE87A2" w:tentative="1">
      <w:start w:val="1"/>
      <w:numFmt w:val="bullet"/>
      <w:lvlText w:val="•"/>
      <w:lvlJc w:val="left"/>
      <w:pPr>
        <w:tabs>
          <w:tab w:val="num" w:pos="5760"/>
        </w:tabs>
        <w:ind w:left="5760" w:hanging="360"/>
      </w:pPr>
      <w:rPr>
        <w:rFonts w:ascii="Times New Roman" w:hAnsi="Times New Roman" w:hint="default"/>
      </w:rPr>
    </w:lvl>
    <w:lvl w:ilvl="8" w:tplc="F34A1A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D4B2EFA"/>
    <w:multiLevelType w:val="hybridMultilevel"/>
    <w:tmpl w:val="18585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1236EF"/>
    <w:multiLevelType w:val="hybridMultilevel"/>
    <w:tmpl w:val="4CDAD680"/>
    <w:lvl w:ilvl="0" w:tplc="7FA2DCB2">
      <w:start w:val="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48086E"/>
    <w:multiLevelType w:val="multilevel"/>
    <w:tmpl w:val="E5102C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8880F4E"/>
    <w:multiLevelType w:val="hybridMultilevel"/>
    <w:tmpl w:val="86E204EA"/>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A2C57"/>
    <w:multiLevelType w:val="hybridMultilevel"/>
    <w:tmpl w:val="91EA39F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1B799F"/>
    <w:multiLevelType w:val="hybridMultilevel"/>
    <w:tmpl w:val="18A6E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4"/>
  </w:num>
  <w:num w:numId="4">
    <w:abstractNumId w:val="6"/>
  </w:num>
  <w:num w:numId="5">
    <w:abstractNumId w:val="0"/>
  </w:num>
  <w:num w:numId="6">
    <w:abstractNumId w:val="1"/>
  </w:num>
  <w:num w:numId="7">
    <w:abstractNumId w:val="12"/>
  </w:num>
  <w:num w:numId="8">
    <w:abstractNumId w:val="3"/>
  </w:num>
  <w:num w:numId="9">
    <w:abstractNumId w:val="10"/>
  </w:num>
  <w:num w:numId="10">
    <w:abstractNumId w:val="11"/>
  </w:num>
  <w:num w:numId="11">
    <w:abstractNumId w:val="9"/>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de-DE"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6" w:nlCheck="1" w:checkStyle="1"/>
  <w:activeWritingStyle w:appName="MSWord" w:lang="nl-NL" w:vendorID="64" w:dllVersion="4096"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en-GB" w:vendorID="64" w:dllVersion="0" w:nlCheck="1" w:checkStyle="0"/>
  <w:activeWritingStyle w:appName="MSWord" w:lang="de-CH" w:vendorID="64" w:dllVersion="6" w:nlCheck="1" w:checkStyle="0"/>
  <w:activeWritingStyle w:appName="MSWord" w:lang="de-CH" w:vendorID="64" w:dllVersion="4096"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8AC"/>
    <w:rsid w:val="00000482"/>
    <w:rsid w:val="000013B1"/>
    <w:rsid w:val="00002103"/>
    <w:rsid w:val="00002A18"/>
    <w:rsid w:val="00003515"/>
    <w:rsid w:val="0000373D"/>
    <w:rsid w:val="00004B34"/>
    <w:rsid w:val="0000740A"/>
    <w:rsid w:val="00013209"/>
    <w:rsid w:val="00013CBA"/>
    <w:rsid w:val="000165F5"/>
    <w:rsid w:val="00016A51"/>
    <w:rsid w:val="00016FED"/>
    <w:rsid w:val="00023973"/>
    <w:rsid w:val="00023CDF"/>
    <w:rsid w:val="0002680B"/>
    <w:rsid w:val="00027353"/>
    <w:rsid w:val="000277AE"/>
    <w:rsid w:val="00030E04"/>
    <w:rsid w:val="0003268F"/>
    <w:rsid w:val="00035A01"/>
    <w:rsid w:val="00040D06"/>
    <w:rsid w:val="0004103C"/>
    <w:rsid w:val="00044E5B"/>
    <w:rsid w:val="0004510B"/>
    <w:rsid w:val="000455C8"/>
    <w:rsid w:val="000463F7"/>
    <w:rsid w:val="00051AC7"/>
    <w:rsid w:val="00052A12"/>
    <w:rsid w:val="00052BC3"/>
    <w:rsid w:val="00053902"/>
    <w:rsid w:val="00053FC1"/>
    <w:rsid w:val="000545D6"/>
    <w:rsid w:val="0005464C"/>
    <w:rsid w:val="0005553F"/>
    <w:rsid w:val="00055763"/>
    <w:rsid w:val="00060802"/>
    <w:rsid w:val="00061B97"/>
    <w:rsid w:val="00061FD9"/>
    <w:rsid w:val="000634BB"/>
    <w:rsid w:val="00064777"/>
    <w:rsid w:val="00066ACD"/>
    <w:rsid w:val="000728AE"/>
    <w:rsid w:val="00073C56"/>
    <w:rsid w:val="000766E0"/>
    <w:rsid w:val="000768FA"/>
    <w:rsid w:val="00080448"/>
    <w:rsid w:val="00081149"/>
    <w:rsid w:val="0008401D"/>
    <w:rsid w:val="00084E17"/>
    <w:rsid w:val="0009022F"/>
    <w:rsid w:val="00093107"/>
    <w:rsid w:val="000937FB"/>
    <w:rsid w:val="00094CBC"/>
    <w:rsid w:val="00095B7A"/>
    <w:rsid w:val="00097CB4"/>
    <w:rsid w:val="000A0B2F"/>
    <w:rsid w:val="000A2080"/>
    <w:rsid w:val="000A2ED3"/>
    <w:rsid w:val="000A5929"/>
    <w:rsid w:val="000A63E6"/>
    <w:rsid w:val="000A7587"/>
    <w:rsid w:val="000B53E7"/>
    <w:rsid w:val="000B5D04"/>
    <w:rsid w:val="000B5E23"/>
    <w:rsid w:val="000B674A"/>
    <w:rsid w:val="000C1BE4"/>
    <w:rsid w:val="000C1E95"/>
    <w:rsid w:val="000C3799"/>
    <w:rsid w:val="000C3D04"/>
    <w:rsid w:val="000C7B4B"/>
    <w:rsid w:val="000D4A94"/>
    <w:rsid w:val="000D554A"/>
    <w:rsid w:val="000D5A67"/>
    <w:rsid w:val="000D6857"/>
    <w:rsid w:val="000E18DF"/>
    <w:rsid w:val="000E1EBD"/>
    <w:rsid w:val="000E2B2A"/>
    <w:rsid w:val="000E4AF3"/>
    <w:rsid w:val="000E7803"/>
    <w:rsid w:val="000E7C34"/>
    <w:rsid w:val="000F0E33"/>
    <w:rsid w:val="000F18CE"/>
    <w:rsid w:val="000F2F25"/>
    <w:rsid w:val="000F3122"/>
    <w:rsid w:val="000F4401"/>
    <w:rsid w:val="000F4806"/>
    <w:rsid w:val="000F4B91"/>
    <w:rsid w:val="000F630E"/>
    <w:rsid w:val="000F6A56"/>
    <w:rsid w:val="00100A8E"/>
    <w:rsid w:val="00102228"/>
    <w:rsid w:val="001024A7"/>
    <w:rsid w:val="0010382A"/>
    <w:rsid w:val="0010564E"/>
    <w:rsid w:val="00107644"/>
    <w:rsid w:val="00107EC5"/>
    <w:rsid w:val="001108AC"/>
    <w:rsid w:val="001129EE"/>
    <w:rsid w:val="001130D5"/>
    <w:rsid w:val="00113C16"/>
    <w:rsid w:val="00113DBD"/>
    <w:rsid w:val="00114B0A"/>
    <w:rsid w:val="00114D92"/>
    <w:rsid w:val="001158E7"/>
    <w:rsid w:val="00116CBC"/>
    <w:rsid w:val="001220BF"/>
    <w:rsid w:val="00124928"/>
    <w:rsid w:val="00124B09"/>
    <w:rsid w:val="00127225"/>
    <w:rsid w:val="00131AB8"/>
    <w:rsid w:val="0013482E"/>
    <w:rsid w:val="00136B3A"/>
    <w:rsid w:val="0014087A"/>
    <w:rsid w:val="00142374"/>
    <w:rsid w:val="0014299F"/>
    <w:rsid w:val="00143028"/>
    <w:rsid w:val="0014402F"/>
    <w:rsid w:val="00144EF7"/>
    <w:rsid w:val="001462FF"/>
    <w:rsid w:val="001468EC"/>
    <w:rsid w:val="0014748A"/>
    <w:rsid w:val="0015020C"/>
    <w:rsid w:val="00150FD8"/>
    <w:rsid w:val="001510E6"/>
    <w:rsid w:val="001516CA"/>
    <w:rsid w:val="00151B47"/>
    <w:rsid w:val="00151FD7"/>
    <w:rsid w:val="0015292C"/>
    <w:rsid w:val="00153951"/>
    <w:rsid w:val="00155BB2"/>
    <w:rsid w:val="00155C78"/>
    <w:rsid w:val="00156B95"/>
    <w:rsid w:val="00160185"/>
    <w:rsid w:val="00161697"/>
    <w:rsid w:val="00162002"/>
    <w:rsid w:val="001635FF"/>
    <w:rsid w:val="00166485"/>
    <w:rsid w:val="00166C8D"/>
    <w:rsid w:val="00167AFF"/>
    <w:rsid w:val="00171198"/>
    <w:rsid w:val="00173D65"/>
    <w:rsid w:val="00175395"/>
    <w:rsid w:val="00175D7A"/>
    <w:rsid w:val="00181D74"/>
    <w:rsid w:val="0018204E"/>
    <w:rsid w:val="00182F15"/>
    <w:rsid w:val="00183406"/>
    <w:rsid w:val="001842FA"/>
    <w:rsid w:val="00185DF9"/>
    <w:rsid w:val="00185FB3"/>
    <w:rsid w:val="00186C86"/>
    <w:rsid w:val="0019010E"/>
    <w:rsid w:val="0019114C"/>
    <w:rsid w:val="00191B64"/>
    <w:rsid w:val="00191D53"/>
    <w:rsid w:val="00192547"/>
    <w:rsid w:val="0019278F"/>
    <w:rsid w:val="00194808"/>
    <w:rsid w:val="00196CB2"/>
    <w:rsid w:val="00197038"/>
    <w:rsid w:val="001976C6"/>
    <w:rsid w:val="001A0D3A"/>
    <w:rsid w:val="001A125E"/>
    <w:rsid w:val="001A1EB9"/>
    <w:rsid w:val="001A5F60"/>
    <w:rsid w:val="001A6D0D"/>
    <w:rsid w:val="001B0007"/>
    <w:rsid w:val="001B064C"/>
    <w:rsid w:val="001B0968"/>
    <w:rsid w:val="001B11B1"/>
    <w:rsid w:val="001B1B88"/>
    <w:rsid w:val="001B2771"/>
    <w:rsid w:val="001B2F2F"/>
    <w:rsid w:val="001B34C1"/>
    <w:rsid w:val="001B4663"/>
    <w:rsid w:val="001B52F0"/>
    <w:rsid w:val="001B5951"/>
    <w:rsid w:val="001B5A55"/>
    <w:rsid w:val="001B6DAA"/>
    <w:rsid w:val="001B71AE"/>
    <w:rsid w:val="001B78A9"/>
    <w:rsid w:val="001C1D03"/>
    <w:rsid w:val="001C2E8C"/>
    <w:rsid w:val="001C45DF"/>
    <w:rsid w:val="001C7120"/>
    <w:rsid w:val="001D055A"/>
    <w:rsid w:val="001D0F23"/>
    <w:rsid w:val="001D0F3C"/>
    <w:rsid w:val="001D5608"/>
    <w:rsid w:val="001D7720"/>
    <w:rsid w:val="001E3D09"/>
    <w:rsid w:val="001E7CC3"/>
    <w:rsid w:val="001F123B"/>
    <w:rsid w:val="001F3AAB"/>
    <w:rsid w:val="001F415B"/>
    <w:rsid w:val="00200FC4"/>
    <w:rsid w:val="00201A71"/>
    <w:rsid w:val="00201AA2"/>
    <w:rsid w:val="00201E94"/>
    <w:rsid w:val="00203D80"/>
    <w:rsid w:val="00204C95"/>
    <w:rsid w:val="00205B4D"/>
    <w:rsid w:val="00206344"/>
    <w:rsid w:val="00206583"/>
    <w:rsid w:val="00207ED2"/>
    <w:rsid w:val="002124CD"/>
    <w:rsid w:val="0021286B"/>
    <w:rsid w:val="00212FB9"/>
    <w:rsid w:val="00214986"/>
    <w:rsid w:val="00222E40"/>
    <w:rsid w:val="00223E6B"/>
    <w:rsid w:val="002257E3"/>
    <w:rsid w:val="00227CCF"/>
    <w:rsid w:val="0023392E"/>
    <w:rsid w:val="0023490D"/>
    <w:rsid w:val="00234C33"/>
    <w:rsid w:val="00240743"/>
    <w:rsid w:val="00241E66"/>
    <w:rsid w:val="00245BDE"/>
    <w:rsid w:val="00246C13"/>
    <w:rsid w:val="002477E5"/>
    <w:rsid w:val="00247CC8"/>
    <w:rsid w:val="00251EBC"/>
    <w:rsid w:val="00253200"/>
    <w:rsid w:val="0025514D"/>
    <w:rsid w:val="002613F6"/>
    <w:rsid w:val="00266516"/>
    <w:rsid w:val="00267B34"/>
    <w:rsid w:val="00273763"/>
    <w:rsid w:val="00280AD8"/>
    <w:rsid w:val="0028193E"/>
    <w:rsid w:val="00281B42"/>
    <w:rsid w:val="00282CBD"/>
    <w:rsid w:val="00284F77"/>
    <w:rsid w:val="00285E26"/>
    <w:rsid w:val="0028659E"/>
    <w:rsid w:val="00286FA5"/>
    <w:rsid w:val="00287339"/>
    <w:rsid w:val="00293930"/>
    <w:rsid w:val="002947A2"/>
    <w:rsid w:val="002973C1"/>
    <w:rsid w:val="002A0E0A"/>
    <w:rsid w:val="002A15C2"/>
    <w:rsid w:val="002A33A4"/>
    <w:rsid w:val="002A47A2"/>
    <w:rsid w:val="002A48EF"/>
    <w:rsid w:val="002A6BF2"/>
    <w:rsid w:val="002B01C5"/>
    <w:rsid w:val="002B1081"/>
    <w:rsid w:val="002B33A8"/>
    <w:rsid w:val="002B420B"/>
    <w:rsid w:val="002B4E39"/>
    <w:rsid w:val="002B545F"/>
    <w:rsid w:val="002B5803"/>
    <w:rsid w:val="002B5D31"/>
    <w:rsid w:val="002B5EC5"/>
    <w:rsid w:val="002B61F7"/>
    <w:rsid w:val="002B6309"/>
    <w:rsid w:val="002B7C4C"/>
    <w:rsid w:val="002C1365"/>
    <w:rsid w:val="002C5E67"/>
    <w:rsid w:val="002C774C"/>
    <w:rsid w:val="002D4AEC"/>
    <w:rsid w:val="002D6893"/>
    <w:rsid w:val="002E0498"/>
    <w:rsid w:val="002E07F4"/>
    <w:rsid w:val="002E0EFE"/>
    <w:rsid w:val="002E29D6"/>
    <w:rsid w:val="002E341D"/>
    <w:rsid w:val="002E3583"/>
    <w:rsid w:val="002E3F59"/>
    <w:rsid w:val="002E495B"/>
    <w:rsid w:val="002E53A0"/>
    <w:rsid w:val="002E5D68"/>
    <w:rsid w:val="002E6D55"/>
    <w:rsid w:val="002F2A83"/>
    <w:rsid w:val="002F31E6"/>
    <w:rsid w:val="002F4274"/>
    <w:rsid w:val="002F49B7"/>
    <w:rsid w:val="002F4A57"/>
    <w:rsid w:val="002F5CE9"/>
    <w:rsid w:val="002F638A"/>
    <w:rsid w:val="002F7441"/>
    <w:rsid w:val="003003A6"/>
    <w:rsid w:val="003005E7"/>
    <w:rsid w:val="00300D32"/>
    <w:rsid w:val="00301795"/>
    <w:rsid w:val="003039B4"/>
    <w:rsid w:val="00304BFA"/>
    <w:rsid w:val="003056A8"/>
    <w:rsid w:val="00306D14"/>
    <w:rsid w:val="00307644"/>
    <w:rsid w:val="0030767A"/>
    <w:rsid w:val="00310BAF"/>
    <w:rsid w:val="00310E46"/>
    <w:rsid w:val="00311105"/>
    <w:rsid w:val="00312A92"/>
    <w:rsid w:val="003143DF"/>
    <w:rsid w:val="00315E47"/>
    <w:rsid w:val="00316B13"/>
    <w:rsid w:val="00316B3A"/>
    <w:rsid w:val="00317FDE"/>
    <w:rsid w:val="00321615"/>
    <w:rsid w:val="00322A44"/>
    <w:rsid w:val="00322CBD"/>
    <w:rsid w:val="00323A8F"/>
    <w:rsid w:val="0032447C"/>
    <w:rsid w:val="00325010"/>
    <w:rsid w:val="003265A9"/>
    <w:rsid w:val="003267BF"/>
    <w:rsid w:val="00326BD0"/>
    <w:rsid w:val="00327B6E"/>
    <w:rsid w:val="00331963"/>
    <w:rsid w:val="00332363"/>
    <w:rsid w:val="00334A4E"/>
    <w:rsid w:val="00336AD7"/>
    <w:rsid w:val="00337F34"/>
    <w:rsid w:val="00340CD3"/>
    <w:rsid w:val="00341B41"/>
    <w:rsid w:val="003446A4"/>
    <w:rsid w:val="00344790"/>
    <w:rsid w:val="0034669E"/>
    <w:rsid w:val="003466C3"/>
    <w:rsid w:val="00346CFF"/>
    <w:rsid w:val="0034706D"/>
    <w:rsid w:val="00347F5E"/>
    <w:rsid w:val="0035155C"/>
    <w:rsid w:val="003533C4"/>
    <w:rsid w:val="00354B53"/>
    <w:rsid w:val="00356373"/>
    <w:rsid w:val="003576FC"/>
    <w:rsid w:val="003619C7"/>
    <w:rsid w:val="00361FB4"/>
    <w:rsid w:val="003675AB"/>
    <w:rsid w:val="00370B33"/>
    <w:rsid w:val="00371032"/>
    <w:rsid w:val="00372D8C"/>
    <w:rsid w:val="003739C2"/>
    <w:rsid w:val="00373A01"/>
    <w:rsid w:val="00374864"/>
    <w:rsid w:val="00374BE5"/>
    <w:rsid w:val="00377DEC"/>
    <w:rsid w:val="00380025"/>
    <w:rsid w:val="003805B1"/>
    <w:rsid w:val="00381285"/>
    <w:rsid w:val="0038153C"/>
    <w:rsid w:val="00382075"/>
    <w:rsid w:val="00382368"/>
    <w:rsid w:val="003830DE"/>
    <w:rsid w:val="00383867"/>
    <w:rsid w:val="00384635"/>
    <w:rsid w:val="00384E92"/>
    <w:rsid w:val="00386A1C"/>
    <w:rsid w:val="00386E10"/>
    <w:rsid w:val="00387060"/>
    <w:rsid w:val="0039147E"/>
    <w:rsid w:val="00392B71"/>
    <w:rsid w:val="003931B7"/>
    <w:rsid w:val="00394C29"/>
    <w:rsid w:val="00395722"/>
    <w:rsid w:val="003A2074"/>
    <w:rsid w:val="003A2788"/>
    <w:rsid w:val="003A2F93"/>
    <w:rsid w:val="003A3E6B"/>
    <w:rsid w:val="003A51E9"/>
    <w:rsid w:val="003A58F2"/>
    <w:rsid w:val="003A6F0C"/>
    <w:rsid w:val="003B05E9"/>
    <w:rsid w:val="003B2D15"/>
    <w:rsid w:val="003B39E2"/>
    <w:rsid w:val="003B3FAF"/>
    <w:rsid w:val="003B4779"/>
    <w:rsid w:val="003B4A27"/>
    <w:rsid w:val="003B4C0E"/>
    <w:rsid w:val="003B73AE"/>
    <w:rsid w:val="003C17A2"/>
    <w:rsid w:val="003C1989"/>
    <w:rsid w:val="003C4392"/>
    <w:rsid w:val="003C4AD9"/>
    <w:rsid w:val="003C4B2A"/>
    <w:rsid w:val="003C4E31"/>
    <w:rsid w:val="003C7766"/>
    <w:rsid w:val="003C7FF3"/>
    <w:rsid w:val="003D02C4"/>
    <w:rsid w:val="003D1148"/>
    <w:rsid w:val="003D250F"/>
    <w:rsid w:val="003D2AC7"/>
    <w:rsid w:val="003D36FD"/>
    <w:rsid w:val="003D54B8"/>
    <w:rsid w:val="003D5900"/>
    <w:rsid w:val="003D6A3F"/>
    <w:rsid w:val="003E144A"/>
    <w:rsid w:val="003E2CF7"/>
    <w:rsid w:val="003E3813"/>
    <w:rsid w:val="003E56FB"/>
    <w:rsid w:val="003E58C7"/>
    <w:rsid w:val="003E674C"/>
    <w:rsid w:val="003E7642"/>
    <w:rsid w:val="003E7FD2"/>
    <w:rsid w:val="003F10A4"/>
    <w:rsid w:val="003F2240"/>
    <w:rsid w:val="003F2574"/>
    <w:rsid w:val="003F57F7"/>
    <w:rsid w:val="003F7130"/>
    <w:rsid w:val="003F735B"/>
    <w:rsid w:val="004034F7"/>
    <w:rsid w:val="00405150"/>
    <w:rsid w:val="00406791"/>
    <w:rsid w:val="00407910"/>
    <w:rsid w:val="00407B9B"/>
    <w:rsid w:val="00410451"/>
    <w:rsid w:val="00415150"/>
    <w:rsid w:val="004164A6"/>
    <w:rsid w:val="00417013"/>
    <w:rsid w:val="00417BBB"/>
    <w:rsid w:val="00421EEA"/>
    <w:rsid w:val="00422248"/>
    <w:rsid w:val="0042253E"/>
    <w:rsid w:val="00423414"/>
    <w:rsid w:val="00423F32"/>
    <w:rsid w:val="004259AE"/>
    <w:rsid w:val="00425B43"/>
    <w:rsid w:val="004260D8"/>
    <w:rsid w:val="004273F7"/>
    <w:rsid w:val="00430832"/>
    <w:rsid w:val="0043369B"/>
    <w:rsid w:val="0043397E"/>
    <w:rsid w:val="00433985"/>
    <w:rsid w:val="00433AAB"/>
    <w:rsid w:val="004350D6"/>
    <w:rsid w:val="00437ADF"/>
    <w:rsid w:val="00437CA8"/>
    <w:rsid w:val="00445A9D"/>
    <w:rsid w:val="0045062E"/>
    <w:rsid w:val="004506CC"/>
    <w:rsid w:val="00451B86"/>
    <w:rsid w:val="004524A1"/>
    <w:rsid w:val="0045443B"/>
    <w:rsid w:val="00456118"/>
    <w:rsid w:val="004569F2"/>
    <w:rsid w:val="00457BCD"/>
    <w:rsid w:val="00463163"/>
    <w:rsid w:val="00465136"/>
    <w:rsid w:val="00466253"/>
    <w:rsid w:val="00466317"/>
    <w:rsid w:val="0047192E"/>
    <w:rsid w:val="00471B5C"/>
    <w:rsid w:val="00476020"/>
    <w:rsid w:val="00476BE8"/>
    <w:rsid w:val="00477D26"/>
    <w:rsid w:val="0048187C"/>
    <w:rsid w:val="0048223E"/>
    <w:rsid w:val="0048476A"/>
    <w:rsid w:val="004847D0"/>
    <w:rsid w:val="00487CC8"/>
    <w:rsid w:val="00490967"/>
    <w:rsid w:val="00490B8C"/>
    <w:rsid w:val="004917BB"/>
    <w:rsid w:val="004946CD"/>
    <w:rsid w:val="0049578F"/>
    <w:rsid w:val="00496BA7"/>
    <w:rsid w:val="004A0263"/>
    <w:rsid w:val="004A02EE"/>
    <w:rsid w:val="004A051A"/>
    <w:rsid w:val="004A7F3A"/>
    <w:rsid w:val="004B1408"/>
    <w:rsid w:val="004B21C5"/>
    <w:rsid w:val="004B2A99"/>
    <w:rsid w:val="004B3A2F"/>
    <w:rsid w:val="004B4961"/>
    <w:rsid w:val="004B4D83"/>
    <w:rsid w:val="004B5753"/>
    <w:rsid w:val="004B5817"/>
    <w:rsid w:val="004B6252"/>
    <w:rsid w:val="004C3268"/>
    <w:rsid w:val="004C454D"/>
    <w:rsid w:val="004C50D3"/>
    <w:rsid w:val="004C7C02"/>
    <w:rsid w:val="004C7D90"/>
    <w:rsid w:val="004D0FBE"/>
    <w:rsid w:val="004D3B78"/>
    <w:rsid w:val="004D4972"/>
    <w:rsid w:val="004D5A8B"/>
    <w:rsid w:val="004D63B0"/>
    <w:rsid w:val="004D6F6A"/>
    <w:rsid w:val="004D7739"/>
    <w:rsid w:val="004E3F09"/>
    <w:rsid w:val="004E485F"/>
    <w:rsid w:val="004E5D44"/>
    <w:rsid w:val="004E5EFA"/>
    <w:rsid w:val="004F01E7"/>
    <w:rsid w:val="004F1803"/>
    <w:rsid w:val="004F1B06"/>
    <w:rsid w:val="004F25A4"/>
    <w:rsid w:val="004F280F"/>
    <w:rsid w:val="004F2E38"/>
    <w:rsid w:val="004F3025"/>
    <w:rsid w:val="004F440F"/>
    <w:rsid w:val="00500D69"/>
    <w:rsid w:val="00501555"/>
    <w:rsid w:val="005025DE"/>
    <w:rsid w:val="00503366"/>
    <w:rsid w:val="00503EA7"/>
    <w:rsid w:val="00507376"/>
    <w:rsid w:val="00510C04"/>
    <w:rsid w:val="005118AA"/>
    <w:rsid w:val="00514D22"/>
    <w:rsid w:val="0051550C"/>
    <w:rsid w:val="0051582F"/>
    <w:rsid w:val="00515F79"/>
    <w:rsid w:val="00517322"/>
    <w:rsid w:val="005179B5"/>
    <w:rsid w:val="0052038D"/>
    <w:rsid w:val="005215A2"/>
    <w:rsid w:val="00522285"/>
    <w:rsid w:val="0052375C"/>
    <w:rsid w:val="00523CBF"/>
    <w:rsid w:val="00524EC7"/>
    <w:rsid w:val="00526365"/>
    <w:rsid w:val="00526524"/>
    <w:rsid w:val="005269D3"/>
    <w:rsid w:val="00526F35"/>
    <w:rsid w:val="005305D0"/>
    <w:rsid w:val="00530EE9"/>
    <w:rsid w:val="0053372C"/>
    <w:rsid w:val="00534A59"/>
    <w:rsid w:val="005357F4"/>
    <w:rsid w:val="005367B9"/>
    <w:rsid w:val="0053737C"/>
    <w:rsid w:val="0054055A"/>
    <w:rsid w:val="005408E5"/>
    <w:rsid w:val="005410A3"/>
    <w:rsid w:val="005450B1"/>
    <w:rsid w:val="005506CF"/>
    <w:rsid w:val="005553CD"/>
    <w:rsid w:val="00555CD2"/>
    <w:rsid w:val="00556028"/>
    <w:rsid w:val="00560FEC"/>
    <w:rsid w:val="005633CE"/>
    <w:rsid w:val="00564244"/>
    <w:rsid w:val="00565A12"/>
    <w:rsid w:val="00565CCC"/>
    <w:rsid w:val="0056635D"/>
    <w:rsid w:val="0057058D"/>
    <w:rsid w:val="00575A0F"/>
    <w:rsid w:val="0057738B"/>
    <w:rsid w:val="005807BF"/>
    <w:rsid w:val="0058145A"/>
    <w:rsid w:val="00582A21"/>
    <w:rsid w:val="0058383D"/>
    <w:rsid w:val="00583E63"/>
    <w:rsid w:val="005864E6"/>
    <w:rsid w:val="005865E2"/>
    <w:rsid w:val="0058668A"/>
    <w:rsid w:val="00590DFD"/>
    <w:rsid w:val="00591ACE"/>
    <w:rsid w:val="00591CA5"/>
    <w:rsid w:val="005922AB"/>
    <w:rsid w:val="0059295B"/>
    <w:rsid w:val="00593B4B"/>
    <w:rsid w:val="00593E4A"/>
    <w:rsid w:val="00594CFF"/>
    <w:rsid w:val="0059590A"/>
    <w:rsid w:val="00597026"/>
    <w:rsid w:val="005A1B0F"/>
    <w:rsid w:val="005A3F56"/>
    <w:rsid w:val="005A5AD1"/>
    <w:rsid w:val="005A6F06"/>
    <w:rsid w:val="005B01C2"/>
    <w:rsid w:val="005B0FE5"/>
    <w:rsid w:val="005B11E6"/>
    <w:rsid w:val="005B1AB2"/>
    <w:rsid w:val="005B2371"/>
    <w:rsid w:val="005B3107"/>
    <w:rsid w:val="005B5C9F"/>
    <w:rsid w:val="005B621E"/>
    <w:rsid w:val="005B7142"/>
    <w:rsid w:val="005C0145"/>
    <w:rsid w:val="005C06AC"/>
    <w:rsid w:val="005C0916"/>
    <w:rsid w:val="005C113D"/>
    <w:rsid w:val="005C1BE6"/>
    <w:rsid w:val="005C29CD"/>
    <w:rsid w:val="005C2E92"/>
    <w:rsid w:val="005C4000"/>
    <w:rsid w:val="005C41AB"/>
    <w:rsid w:val="005C514F"/>
    <w:rsid w:val="005C6AAB"/>
    <w:rsid w:val="005C7716"/>
    <w:rsid w:val="005D0617"/>
    <w:rsid w:val="005D08FD"/>
    <w:rsid w:val="005D17BA"/>
    <w:rsid w:val="005D52FF"/>
    <w:rsid w:val="005D543D"/>
    <w:rsid w:val="005D671A"/>
    <w:rsid w:val="005E0170"/>
    <w:rsid w:val="005E08D8"/>
    <w:rsid w:val="005E1860"/>
    <w:rsid w:val="005E1C7C"/>
    <w:rsid w:val="005E3188"/>
    <w:rsid w:val="005E3659"/>
    <w:rsid w:val="005E3912"/>
    <w:rsid w:val="005E3A47"/>
    <w:rsid w:val="005E4C4D"/>
    <w:rsid w:val="005E5270"/>
    <w:rsid w:val="005E5893"/>
    <w:rsid w:val="005E5D2F"/>
    <w:rsid w:val="005E5D3C"/>
    <w:rsid w:val="005F08AA"/>
    <w:rsid w:val="005F2574"/>
    <w:rsid w:val="005F3C75"/>
    <w:rsid w:val="005F3E99"/>
    <w:rsid w:val="005F3ED1"/>
    <w:rsid w:val="005F473C"/>
    <w:rsid w:val="005F565E"/>
    <w:rsid w:val="005F6093"/>
    <w:rsid w:val="005F7347"/>
    <w:rsid w:val="00600C32"/>
    <w:rsid w:val="00601741"/>
    <w:rsid w:val="00601F96"/>
    <w:rsid w:val="00602358"/>
    <w:rsid w:val="00602517"/>
    <w:rsid w:val="00603662"/>
    <w:rsid w:val="00603D1D"/>
    <w:rsid w:val="00604C6C"/>
    <w:rsid w:val="00610B16"/>
    <w:rsid w:val="00612DFD"/>
    <w:rsid w:val="00612E27"/>
    <w:rsid w:val="00613D94"/>
    <w:rsid w:val="00614B04"/>
    <w:rsid w:val="00615136"/>
    <w:rsid w:val="00615626"/>
    <w:rsid w:val="00620D9C"/>
    <w:rsid w:val="006217E2"/>
    <w:rsid w:val="0062297F"/>
    <w:rsid w:val="006241FB"/>
    <w:rsid w:val="006248F7"/>
    <w:rsid w:val="00624AF6"/>
    <w:rsid w:val="00624B94"/>
    <w:rsid w:val="00632983"/>
    <w:rsid w:val="00633036"/>
    <w:rsid w:val="006342C4"/>
    <w:rsid w:val="006401F9"/>
    <w:rsid w:val="0064132A"/>
    <w:rsid w:val="00641399"/>
    <w:rsid w:val="00641F8A"/>
    <w:rsid w:val="00642DFD"/>
    <w:rsid w:val="00645CF5"/>
    <w:rsid w:val="00645E08"/>
    <w:rsid w:val="00646D75"/>
    <w:rsid w:val="00646EED"/>
    <w:rsid w:val="00647AA9"/>
    <w:rsid w:val="00650C92"/>
    <w:rsid w:val="00651321"/>
    <w:rsid w:val="00651650"/>
    <w:rsid w:val="00652989"/>
    <w:rsid w:val="00654E6D"/>
    <w:rsid w:val="00655A9B"/>
    <w:rsid w:val="00655E26"/>
    <w:rsid w:val="006563DC"/>
    <w:rsid w:val="0065758E"/>
    <w:rsid w:val="00657911"/>
    <w:rsid w:val="00657B38"/>
    <w:rsid w:val="006609C5"/>
    <w:rsid w:val="00661DDC"/>
    <w:rsid w:val="006625DC"/>
    <w:rsid w:val="00664445"/>
    <w:rsid w:val="00664549"/>
    <w:rsid w:val="0066454D"/>
    <w:rsid w:val="00665475"/>
    <w:rsid w:val="00665A35"/>
    <w:rsid w:val="00665A62"/>
    <w:rsid w:val="00667817"/>
    <w:rsid w:val="00670009"/>
    <w:rsid w:val="00670B89"/>
    <w:rsid w:val="00672EE1"/>
    <w:rsid w:val="0067353C"/>
    <w:rsid w:val="00673DB1"/>
    <w:rsid w:val="00674647"/>
    <w:rsid w:val="00675192"/>
    <w:rsid w:val="00675D52"/>
    <w:rsid w:val="006764C5"/>
    <w:rsid w:val="00677E1C"/>
    <w:rsid w:val="006822D3"/>
    <w:rsid w:val="00682385"/>
    <w:rsid w:val="0068306E"/>
    <w:rsid w:val="006852AB"/>
    <w:rsid w:val="006856D7"/>
    <w:rsid w:val="00686F90"/>
    <w:rsid w:val="0068741E"/>
    <w:rsid w:val="00687F4C"/>
    <w:rsid w:val="0069206D"/>
    <w:rsid w:val="00693C89"/>
    <w:rsid w:val="00694235"/>
    <w:rsid w:val="006945A7"/>
    <w:rsid w:val="00694F10"/>
    <w:rsid w:val="00696554"/>
    <w:rsid w:val="00697014"/>
    <w:rsid w:val="006978E7"/>
    <w:rsid w:val="006A0167"/>
    <w:rsid w:val="006A1847"/>
    <w:rsid w:val="006A1E7E"/>
    <w:rsid w:val="006A2857"/>
    <w:rsid w:val="006A299E"/>
    <w:rsid w:val="006A4704"/>
    <w:rsid w:val="006A7139"/>
    <w:rsid w:val="006B0E03"/>
    <w:rsid w:val="006B0EFD"/>
    <w:rsid w:val="006B10CB"/>
    <w:rsid w:val="006B2CC2"/>
    <w:rsid w:val="006B2F09"/>
    <w:rsid w:val="006B56EB"/>
    <w:rsid w:val="006B5749"/>
    <w:rsid w:val="006C2D96"/>
    <w:rsid w:val="006C301A"/>
    <w:rsid w:val="006C30A8"/>
    <w:rsid w:val="006C3441"/>
    <w:rsid w:val="006C5530"/>
    <w:rsid w:val="006C7B45"/>
    <w:rsid w:val="006C7C1D"/>
    <w:rsid w:val="006D096A"/>
    <w:rsid w:val="006D0B74"/>
    <w:rsid w:val="006D1645"/>
    <w:rsid w:val="006D3966"/>
    <w:rsid w:val="006D4EFC"/>
    <w:rsid w:val="006D55F5"/>
    <w:rsid w:val="006D6F68"/>
    <w:rsid w:val="006D6F9F"/>
    <w:rsid w:val="006D7573"/>
    <w:rsid w:val="006D7C7A"/>
    <w:rsid w:val="006E084F"/>
    <w:rsid w:val="006E091B"/>
    <w:rsid w:val="006E0EF3"/>
    <w:rsid w:val="006E23ED"/>
    <w:rsid w:val="006E32BC"/>
    <w:rsid w:val="006E46AE"/>
    <w:rsid w:val="006E4FA3"/>
    <w:rsid w:val="006E7A5F"/>
    <w:rsid w:val="006E7CC6"/>
    <w:rsid w:val="006F06AB"/>
    <w:rsid w:val="006F06DC"/>
    <w:rsid w:val="006F1B84"/>
    <w:rsid w:val="006F2EDA"/>
    <w:rsid w:val="006F383D"/>
    <w:rsid w:val="006F4C5A"/>
    <w:rsid w:val="006F4D16"/>
    <w:rsid w:val="006F4FF4"/>
    <w:rsid w:val="006F6225"/>
    <w:rsid w:val="006F6EB0"/>
    <w:rsid w:val="00700EB2"/>
    <w:rsid w:val="00702E9D"/>
    <w:rsid w:val="00703B78"/>
    <w:rsid w:val="00704ADD"/>
    <w:rsid w:val="0070559E"/>
    <w:rsid w:val="00705CD1"/>
    <w:rsid w:val="00706ADF"/>
    <w:rsid w:val="00706D64"/>
    <w:rsid w:val="00707439"/>
    <w:rsid w:val="007105D3"/>
    <w:rsid w:val="00710BC7"/>
    <w:rsid w:val="007110A5"/>
    <w:rsid w:val="00711549"/>
    <w:rsid w:val="007131EE"/>
    <w:rsid w:val="00713BDC"/>
    <w:rsid w:val="00715ACA"/>
    <w:rsid w:val="007162D0"/>
    <w:rsid w:val="00716CC9"/>
    <w:rsid w:val="0072500A"/>
    <w:rsid w:val="00726BF7"/>
    <w:rsid w:val="00726DD1"/>
    <w:rsid w:val="007274D3"/>
    <w:rsid w:val="0072782E"/>
    <w:rsid w:val="00727C55"/>
    <w:rsid w:val="00727E8B"/>
    <w:rsid w:val="00734096"/>
    <w:rsid w:val="00743617"/>
    <w:rsid w:val="0074391E"/>
    <w:rsid w:val="00744875"/>
    <w:rsid w:val="00745018"/>
    <w:rsid w:val="0074510E"/>
    <w:rsid w:val="00746102"/>
    <w:rsid w:val="007469E4"/>
    <w:rsid w:val="00746EDE"/>
    <w:rsid w:val="00747B9E"/>
    <w:rsid w:val="00750A5D"/>
    <w:rsid w:val="007525A4"/>
    <w:rsid w:val="007547FA"/>
    <w:rsid w:val="00754B70"/>
    <w:rsid w:val="00754D10"/>
    <w:rsid w:val="007564FE"/>
    <w:rsid w:val="00761AB9"/>
    <w:rsid w:val="00766FE0"/>
    <w:rsid w:val="00767774"/>
    <w:rsid w:val="00767BB7"/>
    <w:rsid w:val="00767BE6"/>
    <w:rsid w:val="0077028B"/>
    <w:rsid w:val="00770672"/>
    <w:rsid w:val="00770D54"/>
    <w:rsid w:val="007714D4"/>
    <w:rsid w:val="00773364"/>
    <w:rsid w:val="00773E74"/>
    <w:rsid w:val="00775341"/>
    <w:rsid w:val="00776DBE"/>
    <w:rsid w:val="00777867"/>
    <w:rsid w:val="00781202"/>
    <w:rsid w:val="0078447E"/>
    <w:rsid w:val="00784F77"/>
    <w:rsid w:val="007855DD"/>
    <w:rsid w:val="007867F7"/>
    <w:rsid w:val="007869CA"/>
    <w:rsid w:val="00791F3E"/>
    <w:rsid w:val="00792266"/>
    <w:rsid w:val="00792308"/>
    <w:rsid w:val="00792447"/>
    <w:rsid w:val="007930B1"/>
    <w:rsid w:val="00793327"/>
    <w:rsid w:val="007939CE"/>
    <w:rsid w:val="00793C96"/>
    <w:rsid w:val="007945E3"/>
    <w:rsid w:val="00797A26"/>
    <w:rsid w:val="007A0E11"/>
    <w:rsid w:val="007A2BE6"/>
    <w:rsid w:val="007A6DA9"/>
    <w:rsid w:val="007B1F82"/>
    <w:rsid w:val="007B21DD"/>
    <w:rsid w:val="007B39C1"/>
    <w:rsid w:val="007B3D10"/>
    <w:rsid w:val="007B4CCF"/>
    <w:rsid w:val="007C0B9A"/>
    <w:rsid w:val="007C1BD4"/>
    <w:rsid w:val="007C205D"/>
    <w:rsid w:val="007C377E"/>
    <w:rsid w:val="007C3DB9"/>
    <w:rsid w:val="007C4329"/>
    <w:rsid w:val="007C4F2E"/>
    <w:rsid w:val="007C6041"/>
    <w:rsid w:val="007C70FF"/>
    <w:rsid w:val="007D4B1D"/>
    <w:rsid w:val="007D79EB"/>
    <w:rsid w:val="007E03CA"/>
    <w:rsid w:val="007E16DF"/>
    <w:rsid w:val="007E3696"/>
    <w:rsid w:val="007E4422"/>
    <w:rsid w:val="007E5EDF"/>
    <w:rsid w:val="007E6397"/>
    <w:rsid w:val="007E6F0B"/>
    <w:rsid w:val="007F0337"/>
    <w:rsid w:val="007F16F4"/>
    <w:rsid w:val="007F2BD0"/>
    <w:rsid w:val="007F3334"/>
    <w:rsid w:val="007F5EB6"/>
    <w:rsid w:val="007F74F7"/>
    <w:rsid w:val="008008CB"/>
    <w:rsid w:val="00800C75"/>
    <w:rsid w:val="0080313F"/>
    <w:rsid w:val="008040E3"/>
    <w:rsid w:val="008054F1"/>
    <w:rsid w:val="00805BD0"/>
    <w:rsid w:val="00806AE3"/>
    <w:rsid w:val="00807869"/>
    <w:rsid w:val="00810727"/>
    <w:rsid w:val="0081124B"/>
    <w:rsid w:val="00811748"/>
    <w:rsid w:val="0081272B"/>
    <w:rsid w:val="00812F45"/>
    <w:rsid w:val="00814808"/>
    <w:rsid w:val="00814BD5"/>
    <w:rsid w:val="00817564"/>
    <w:rsid w:val="0082035D"/>
    <w:rsid w:val="00822002"/>
    <w:rsid w:val="00823E4D"/>
    <w:rsid w:val="00825AFD"/>
    <w:rsid w:val="00825E28"/>
    <w:rsid w:val="00826E6F"/>
    <w:rsid w:val="00827AF4"/>
    <w:rsid w:val="00827EDB"/>
    <w:rsid w:val="0083065D"/>
    <w:rsid w:val="00831417"/>
    <w:rsid w:val="00831AD6"/>
    <w:rsid w:val="00831DAF"/>
    <w:rsid w:val="00833F0A"/>
    <w:rsid w:val="00835524"/>
    <w:rsid w:val="00835E60"/>
    <w:rsid w:val="00836892"/>
    <w:rsid w:val="00837151"/>
    <w:rsid w:val="008377EE"/>
    <w:rsid w:val="00842881"/>
    <w:rsid w:val="00843C58"/>
    <w:rsid w:val="00846B08"/>
    <w:rsid w:val="00850929"/>
    <w:rsid w:val="00850AAF"/>
    <w:rsid w:val="00851BED"/>
    <w:rsid w:val="008529E7"/>
    <w:rsid w:val="008533EB"/>
    <w:rsid w:val="008563A9"/>
    <w:rsid w:val="00856C27"/>
    <w:rsid w:val="00857265"/>
    <w:rsid w:val="00857CE2"/>
    <w:rsid w:val="008617B2"/>
    <w:rsid w:val="00861ADB"/>
    <w:rsid w:val="008622E3"/>
    <w:rsid w:val="00863F4D"/>
    <w:rsid w:val="0086592B"/>
    <w:rsid w:val="00865E8F"/>
    <w:rsid w:val="008663E0"/>
    <w:rsid w:val="008707C4"/>
    <w:rsid w:val="00870959"/>
    <w:rsid w:val="00870B4D"/>
    <w:rsid w:val="00871D0B"/>
    <w:rsid w:val="008721E3"/>
    <w:rsid w:val="008724B1"/>
    <w:rsid w:val="008770D5"/>
    <w:rsid w:val="008774AA"/>
    <w:rsid w:val="00880783"/>
    <w:rsid w:val="00881CE2"/>
    <w:rsid w:val="00881F93"/>
    <w:rsid w:val="0088211E"/>
    <w:rsid w:val="008821E3"/>
    <w:rsid w:val="00882DD6"/>
    <w:rsid w:val="008847DA"/>
    <w:rsid w:val="00885A70"/>
    <w:rsid w:val="00886337"/>
    <w:rsid w:val="00887D16"/>
    <w:rsid w:val="008901BF"/>
    <w:rsid w:val="00890C84"/>
    <w:rsid w:val="008914E0"/>
    <w:rsid w:val="0089229A"/>
    <w:rsid w:val="0089257A"/>
    <w:rsid w:val="00894228"/>
    <w:rsid w:val="00895BAE"/>
    <w:rsid w:val="00895BB8"/>
    <w:rsid w:val="008A0A4F"/>
    <w:rsid w:val="008A10FD"/>
    <w:rsid w:val="008A1E51"/>
    <w:rsid w:val="008A263C"/>
    <w:rsid w:val="008A2DBA"/>
    <w:rsid w:val="008A2E0D"/>
    <w:rsid w:val="008A447D"/>
    <w:rsid w:val="008A5A7C"/>
    <w:rsid w:val="008A6B5D"/>
    <w:rsid w:val="008A75F1"/>
    <w:rsid w:val="008A7F18"/>
    <w:rsid w:val="008B0A41"/>
    <w:rsid w:val="008B25D4"/>
    <w:rsid w:val="008B2B27"/>
    <w:rsid w:val="008B2D20"/>
    <w:rsid w:val="008B2DD7"/>
    <w:rsid w:val="008B344C"/>
    <w:rsid w:val="008C16EC"/>
    <w:rsid w:val="008C2F6B"/>
    <w:rsid w:val="008C334A"/>
    <w:rsid w:val="008C3D00"/>
    <w:rsid w:val="008C490C"/>
    <w:rsid w:val="008D1BB9"/>
    <w:rsid w:val="008D29E5"/>
    <w:rsid w:val="008D563E"/>
    <w:rsid w:val="008D61D4"/>
    <w:rsid w:val="008D6A0E"/>
    <w:rsid w:val="008D6A17"/>
    <w:rsid w:val="008D74B6"/>
    <w:rsid w:val="008D7540"/>
    <w:rsid w:val="008D75FF"/>
    <w:rsid w:val="008D7D63"/>
    <w:rsid w:val="008E05E3"/>
    <w:rsid w:val="008E0BC1"/>
    <w:rsid w:val="008E2B9C"/>
    <w:rsid w:val="008E2DAE"/>
    <w:rsid w:val="008E2E33"/>
    <w:rsid w:val="008E37D3"/>
    <w:rsid w:val="008E4553"/>
    <w:rsid w:val="008E743D"/>
    <w:rsid w:val="008F1799"/>
    <w:rsid w:val="008F1B4F"/>
    <w:rsid w:val="008F3A79"/>
    <w:rsid w:val="008F462D"/>
    <w:rsid w:val="008F50C4"/>
    <w:rsid w:val="008F52BF"/>
    <w:rsid w:val="008F58EE"/>
    <w:rsid w:val="008F763A"/>
    <w:rsid w:val="008F7CAE"/>
    <w:rsid w:val="008F7DE0"/>
    <w:rsid w:val="00900640"/>
    <w:rsid w:val="00901659"/>
    <w:rsid w:val="00901E30"/>
    <w:rsid w:val="00902A75"/>
    <w:rsid w:val="00905C4A"/>
    <w:rsid w:val="00907557"/>
    <w:rsid w:val="009079A2"/>
    <w:rsid w:val="00907E79"/>
    <w:rsid w:val="00910069"/>
    <w:rsid w:val="00910255"/>
    <w:rsid w:val="00910587"/>
    <w:rsid w:val="00910B92"/>
    <w:rsid w:val="00911265"/>
    <w:rsid w:val="009117A6"/>
    <w:rsid w:val="00911A24"/>
    <w:rsid w:val="009131D6"/>
    <w:rsid w:val="009139C7"/>
    <w:rsid w:val="00917570"/>
    <w:rsid w:val="0091770D"/>
    <w:rsid w:val="00921628"/>
    <w:rsid w:val="00922781"/>
    <w:rsid w:val="00924473"/>
    <w:rsid w:val="00924496"/>
    <w:rsid w:val="0092526F"/>
    <w:rsid w:val="00925DE6"/>
    <w:rsid w:val="00925E0F"/>
    <w:rsid w:val="0092701C"/>
    <w:rsid w:val="009274DF"/>
    <w:rsid w:val="009279A5"/>
    <w:rsid w:val="009300AC"/>
    <w:rsid w:val="009305A0"/>
    <w:rsid w:val="00931B1E"/>
    <w:rsid w:val="00933E71"/>
    <w:rsid w:val="00934B78"/>
    <w:rsid w:val="009361D2"/>
    <w:rsid w:val="009368BD"/>
    <w:rsid w:val="009427DE"/>
    <w:rsid w:val="009428DE"/>
    <w:rsid w:val="0094420B"/>
    <w:rsid w:val="009454A2"/>
    <w:rsid w:val="0094559E"/>
    <w:rsid w:val="009472A9"/>
    <w:rsid w:val="00952182"/>
    <w:rsid w:val="0095399D"/>
    <w:rsid w:val="00954956"/>
    <w:rsid w:val="009553B2"/>
    <w:rsid w:val="00956089"/>
    <w:rsid w:val="0095641C"/>
    <w:rsid w:val="009568D7"/>
    <w:rsid w:val="009574DA"/>
    <w:rsid w:val="00957610"/>
    <w:rsid w:val="0095785F"/>
    <w:rsid w:val="00961FDB"/>
    <w:rsid w:val="00962894"/>
    <w:rsid w:val="00962CD7"/>
    <w:rsid w:val="0096380E"/>
    <w:rsid w:val="009641BE"/>
    <w:rsid w:val="00965039"/>
    <w:rsid w:val="00967A33"/>
    <w:rsid w:val="00971E4D"/>
    <w:rsid w:val="00972B12"/>
    <w:rsid w:val="00973599"/>
    <w:rsid w:val="00974B73"/>
    <w:rsid w:val="00974E2A"/>
    <w:rsid w:val="00975172"/>
    <w:rsid w:val="009771BA"/>
    <w:rsid w:val="009800EA"/>
    <w:rsid w:val="009824B5"/>
    <w:rsid w:val="00986F8D"/>
    <w:rsid w:val="00987684"/>
    <w:rsid w:val="009878BC"/>
    <w:rsid w:val="0099012C"/>
    <w:rsid w:val="00990B02"/>
    <w:rsid w:val="00992235"/>
    <w:rsid w:val="009925F7"/>
    <w:rsid w:val="009951FD"/>
    <w:rsid w:val="009977E2"/>
    <w:rsid w:val="009A16A7"/>
    <w:rsid w:val="009A1861"/>
    <w:rsid w:val="009A1DC9"/>
    <w:rsid w:val="009A3E88"/>
    <w:rsid w:val="009A3FB1"/>
    <w:rsid w:val="009A416F"/>
    <w:rsid w:val="009A4632"/>
    <w:rsid w:val="009A4FB0"/>
    <w:rsid w:val="009A6578"/>
    <w:rsid w:val="009A7D96"/>
    <w:rsid w:val="009B3724"/>
    <w:rsid w:val="009B41C8"/>
    <w:rsid w:val="009B4712"/>
    <w:rsid w:val="009B49A7"/>
    <w:rsid w:val="009B5F8C"/>
    <w:rsid w:val="009B6456"/>
    <w:rsid w:val="009B6A1D"/>
    <w:rsid w:val="009C1583"/>
    <w:rsid w:val="009C3A5A"/>
    <w:rsid w:val="009C5DB0"/>
    <w:rsid w:val="009C6455"/>
    <w:rsid w:val="009C6787"/>
    <w:rsid w:val="009C6A5B"/>
    <w:rsid w:val="009D2179"/>
    <w:rsid w:val="009D398D"/>
    <w:rsid w:val="009D3A21"/>
    <w:rsid w:val="009D3E0C"/>
    <w:rsid w:val="009D6D7F"/>
    <w:rsid w:val="009D7B43"/>
    <w:rsid w:val="009D7ED2"/>
    <w:rsid w:val="009E0011"/>
    <w:rsid w:val="009E19D3"/>
    <w:rsid w:val="009E364C"/>
    <w:rsid w:val="009E46DD"/>
    <w:rsid w:val="009E4C40"/>
    <w:rsid w:val="009E58BD"/>
    <w:rsid w:val="009E610B"/>
    <w:rsid w:val="009E61A0"/>
    <w:rsid w:val="009E630B"/>
    <w:rsid w:val="009E75F8"/>
    <w:rsid w:val="009E7BCD"/>
    <w:rsid w:val="009E7D75"/>
    <w:rsid w:val="009E7E86"/>
    <w:rsid w:val="009F249A"/>
    <w:rsid w:val="009F2DC9"/>
    <w:rsid w:val="009F32B5"/>
    <w:rsid w:val="009F5318"/>
    <w:rsid w:val="009F5775"/>
    <w:rsid w:val="009F65A0"/>
    <w:rsid w:val="009F7FC0"/>
    <w:rsid w:val="00A014BF"/>
    <w:rsid w:val="00A02068"/>
    <w:rsid w:val="00A055FA"/>
    <w:rsid w:val="00A0573D"/>
    <w:rsid w:val="00A10AF1"/>
    <w:rsid w:val="00A12EF3"/>
    <w:rsid w:val="00A14409"/>
    <w:rsid w:val="00A16EE2"/>
    <w:rsid w:val="00A173FC"/>
    <w:rsid w:val="00A175D9"/>
    <w:rsid w:val="00A20EA9"/>
    <w:rsid w:val="00A220D9"/>
    <w:rsid w:val="00A22AAB"/>
    <w:rsid w:val="00A235D3"/>
    <w:rsid w:val="00A27185"/>
    <w:rsid w:val="00A27412"/>
    <w:rsid w:val="00A322D6"/>
    <w:rsid w:val="00A32978"/>
    <w:rsid w:val="00A329BA"/>
    <w:rsid w:val="00A32E2E"/>
    <w:rsid w:val="00A341FB"/>
    <w:rsid w:val="00A34C65"/>
    <w:rsid w:val="00A365F0"/>
    <w:rsid w:val="00A400D8"/>
    <w:rsid w:val="00A40409"/>
    <w:rsid w:val="00A4103D"/>
    <w:rsid w:val="00A415BB"/>
    <w:rsid w:val="00A42326"/>
    <w:rsid w:val="00A45686"/>
    <w:rsid w:val="00A463EB"/>
    <w:rsid w:val="00A46AA7"/>
    <w:rsid w:val="00A47D69"/>
    <w:rsid w:val="00A517D8"/>
    <w:rsid w:val="00A51A21"/>
    <w:rsid w:val="00A52C21"/>
    <w:rsid w:val="00A530B4"/>
    <w:rsid w:val="00A5363A"/>
    <w:rsid w:val="00A53C58"/>
    <w:rsid w:val="00A54D2C"/>
    <w:rsid w:val="00A55369"/>
    <w:rsid w:val="00A63630"/>
    <w:rsid w:val="00A6460B"/>
    <w:rsid w:val="00A67436"/>
    <w:rsid w:val="00A73813"/>
    <w:rsid w:val="00A740D1"/>
    <w:rsid w:val="00A74C93"/>
    <w:rsid w:val="00A76C10"/>
    <w:rsid w:val="00A773D7"/>
    <w:rsid w:val="00A77CD3"/>
    <w:rsid w:val="00A802AB"/>
    <w:rsid w:val="00A811B9"/>
    <w:rsid w:val="00A81331"/>
    <w:rsid w:val="00A83AC6"/>
    <w:rsid w:val="00A85FD1"/>
    <w:rsid w:val="00A87A65"/>
    <w:rsid w:val="00A87AEB"/>
    <w:rsid w:val="00A91E94"/>
    <w:rsid w:val="00A923A9"/>
    <w:rsid w:val="00A932E3"/>
    <w:rsid w:val="00A95520"/>
    <w:rsid w:val="00A97DD4"/>
    <w:rsid w:val="00AA003A"/>
    <w:rsid w:val="00AA1049"/>
    <w:rsid w:val="00AA1C49"/>
    <w:rsid w:val="00AA318D"/>
    <w:rsid w:val="00AA5081"/>
    <w:rsid w:val="00AA568D"/>
    <w:rsid w:val="00AA66A9"/>
    <w:rsid w:val="00AA75F3"/>
    <w:rsid w:val="00AB14FC"/>
    <w:rsid w:val="00AB262A"/>
    <w:rsid w:val="00AB3079"/>
    <w:rsid w:val="00AB3101"/>
    <w:rsid w:val="00AB37FB"/>
    <w:rsid w:val="00AB540B"/>
    <w:rsid w:val="00AB7824"/>
    <w:rsid w:val="00AB7E39"/>
    <w:rsid w:val="00AC3CFF"/>
    <w:rsid w:val="00AC507B"/>
    <w:rsid w:val="00AC5817"/>
    <w:rsid w:val="00AC6438"/>
    <w:rsid w:val="00AC75F8"/>
    <w:rsid w:val="00AD15C2"/>
    <w:rsid w:val="00AD1CB7"/>
    <w:rsid w:val="00AD1E64"/>
    <w:rsid w:val="00AD37D2"/>
    <w:rsid w:val="00AD6B38"/>
    <w:rsid w:val="00AE0043"/>
    <w:rsid w:val="00AE0924"/>
    <w:rsid w:val="00AE0A96"/>
    <w:rsid w:val="00AE1467"/>
    <w:rsid w:val="00AE5091"/>
    <w:rsid w:val="00AE654E"/>
    <w:rsid w:val="00AE6ACB"/>
    <w:rsid w:val="00AF2B34"/>
    <w:rsid w:val="00AF3161"/>
    <w:rsid w:val="00AF41FD"/>
    <w:rsid w:val="00AF4B32"/>
    <w:rsid w:val="00AF5600"/>
    <w:rsid w:val="00AF65DF"/>
    <w:rsid w:val="00B01BAB"/>
    <w:rsid w:val="00B02003"/>
    <w:rsid w:val="00B02CAB"/>
    <w:rsid w:val="00B03062"/>
    <w:rsid w:val="00B04465"/>
    <w:rsid w:val="00B04566"/>
    <w:rsid w:val="00B04B88"/>
    <w:rsid w:val="00B04F3C"/>
    <w:rsid w:val="00B07BBA"/>
    <w:rsid w:val="00B11639"/>
    <w:rsid w:val="00B121BF"/>
    <w:rsid w:val="00B12425"/>
    <w:rsid w:val="00B1324A"/>
    <w:rsid w:val="00B1545A"/>
    <w:rsid w:val="00B156F6"/>
    <w:rsid w:val="00B15983"/>
    <w:rsid w:val="00B1640A"/>
    <w:rsid w:val="00B16BEA"/>
    <w:rsid w:val="00B17206"/>
    <w:rsid w:val="00B2115E"/>
    <w:rsid w:val="00B211DC"/>
    <w:rsid w:val="00B2132A"/>
    <w:rsid w:val="00B219BD"/>
    <w:rsid w:val="00B232D6"/>
    <w:rsid w:val="00B23B9D"/>
    <w:rsid w:val="00B255F3"/>
    <w:rsid w:val="00B26117"/>
    <w:rsid w:val="00B301AF"/>
    <w:rsid w:val="00B30233"/>
    <w:rsid w:val="00B312CA"/>
    <w:rsid w:val="00B3142B"/>
    <w:rsid w:val="00B33207"/>
    <w:rsid w:val="00B332E7"/>
    <w:rsid w:val="00B352E4"/>
    <w:rsid w:val="00B35427"/>
    <w:rsid w:val="00B35D69"/>
    <w:rsid w:val="00B44978"/>
    <w:rsid w:val="00B45415"/>
    <w:rsid w:val="00B45880"/>
    <w:rsid w:val="00B470E7"/>
    <w:rsid w:val="00B47AA1"/>
    <w:rsid w:val="00B511E3"/>
    <w:rsid w:val="00B513B6"/>
    <w:rsid w:val="00B52F6A"/>
    <w:rsid w:val="00B53FC3"/>
    <w:rsid w:val="00B569C4"/>
    <w:rsid w:val="00B60105"/>
    <w:rsid w:val="00B60DBD"/>
    <w:rsid w:val="00B61410"/>
    <w:rsid w:val="00B63437"/>
    <w:rsid w:val="00B645D0"/>
    <w:rsid w:val="00B650D7"/>
    <w:rsid w:val="00B6648E"/>
    <w:rsid w:val="00B67B8C"/>
    <w:rsid w:val="00B702A2"/>
    <w:rsid w:val="00B7095D"/>
    <w:rsid w:val="00B718FF"/>
    <w:rsid w:val="00B721CA"/>
    <w:rsid w:val="00B7262B"/>
    <w:rsid w:val="00B75341"/>
    <w:rsid w:val="00B75D3D"/>
    <w:rsid w:val="00B82D67"/>
    <w:rsid w:val="00B84A00"/>
    <w:rsid w:val="00B8511D"/>
    <w:rsid w:val="00B85AD7"/>
    <w:rsid w:val="00B876C8"/>
    <w:rsid w:val="00B87A23"/>
    <w:rsid w:val="00B90248"/>
    <w:rsid w:val="00B912A2"/>
    <w:rsid w:val="00B94B31"/>
    <w:rsid w:val="00B94C68"/>
    <w:rsid w:val="00B951A4"/>
    <w:rsid w:val="00B96073"/>
    <w:rsid w:val="00B96966"/>
    <w:rsid w:val="00BA165E"/>
    <w:rsid w:val="00BA2332"/>
    <w:rsid w:val="00BA457F"/>
    <w:rsid w:val="00BA7FDC"/>
    <w:rsid w:val="00BB0AA8"/>
    <w:rsid w:val="00BB14EC"/>
    <w:rsid w:val="00BB3396"/>
    <w:rsid w:val="00BB3F6D"/>
    <w:rsid w:val="00BB41B2"/>
    <w:rsid w:val="00BB5ACF"/>
    <w:rsid w:val="00BB5D4A"/>
    <w:rsid w:val="00BB5E47"/>
    <w:rsid w:val="00BB6FEE"/>
    <w:rsid w:val="00BB75C9"/>
    <w:rsid w:val="00BB7E94"/>
    <w:rsid w:val="00BC0538"/>
    <w:rsid w:val="00BC1952"/>
    <w:rsid w:val="00BC3B34"/>
    <w:rsid w:val="00BC3FAF"/>
    <w:rsid w:val="00BC6B68"/>
    <w:rsid w:val="00BC7D73"/>
    <w:rsid w:val="00BC7E6E"/>
    <w:rsid w:val="00BD0435"/>
    <w:rsid w:val="00BD29B9"/>
    <w:rsid w:val="00BD4590"/>
    <w:rsid w:val="00BD4A9B"/>
    <w:rsid w:val="00BD5E96"/>
    <w:rsid w:val="00BD6154"/>
    <w:rsid w:val="00BD6A93"/>
    <w:rsid w:val="00BD6D0D"/>
    <w:rsid w:val="00BE094C"/>
    <w:rsid w:val="00BE1EE1"/>
    <w:rsid w:val="00BE325B"/>
    <w:rsid w:val="00BE6094"/>
    <w:rsid w:val="00BE6953"/>
    <w:rsid w:val="00BE6F8C"/>
    <w:rsid w:val="00BE70D9"/>
    <w:rsid w:val="00BE723D"/>
    <w:rsid w:val="00BF1164"/>
    <w:rsid w:val="00BF151B"/>
    <w:rsid w:val="00BF1E17"/>
    <w:rsid w:val="00BF30E1"/>
    <w:rsid w:val="00BF324C"/>
    <w:rsid w:val="00BF3806"/>
    <w:rsid w:val="00BF4F02"/>
    <w:rsid w:val="00BF4F55"/>
    <w:rsid w:val="00BF510B"/>
    <w:rsid w:val="00BF545D"/>
    <w:rsid w:val="00BF577C"/>
    <w:rsid w:val="00BF5A8D"/>
    <w:rsid w:val="00BF5F6B"/>
    <w:rsid w:val="00BF6B97"/>
    <w:rsid w:val="00BF6BA0"/>
    <w:rsid w:val="00BF70C8"/>
    <w:rsid w:val="00C00B5D"/>
    <w:rsid w:val="00C0285A"/>
    <w:rsid w:val="00C03932"/>
    <w:rsid w:val="00C03BB2"/>
    <w:rsid w:val="00C046F3"/>
    <w:rsid w:val="00C05102"/>
    <w:rsid w:val="00C05563"/>
    <w:rsid w:val="00C07CF8"/>
    <w:rsid w:val="00C10D87"/>
    <w:rsid w:val="00C10E1D"/>
    <w:rsid w:val="00C112E4"/>
    <w:rsid w:val="00C135A5"/>
    <w:rsid w:val="00C15216"/>
    <w:rsid w:val="00C174F4"/>
    <w:rsid w:val="00C22778"/>
    <w:rsid w:val="00C228B0"/>
    <w:rsid w:val="00C23FE8"/>
    <w:rsid w:val="00C263FA"/>
    <w:rsid w:val="00C268AC"/>
    <w:rsid w:val="00C27076"/>
    <w:rsid w:val="00C277C9"/>
    <w:rsid w:val="00C30724"/>
    <w:rsid w:val="00C30792"/>
    <w:rsid w:val="00C30FB8"/>
    <w:rsid w:val="00C32661"/>
    <w:rsid w:val="00C328AB"/>
    <w:rsid w:val="00C34795"/>
    <w:rsid w:val="00C37430"/>
    <w:rsid w:val="00C37558"/>
    <w:rsid w:val="00C4010B"/>
    <w:rsid w:val="00C40F90"/>
    <w:rsid w:val="00C42825"/>
    <w:rsid w:val="00C43440"/>
    <w:rsid w:val="00C43EBF"/>
    <w:rsid w:val="00C442CD"/>
    <w:rsid w:val="00C45530"/>
    <w:rsid w:val="00C45D7B"/>
    <w:rsid w:val="00C46494"/>
    <w:rsid w:val="00C46A09"/>
    <w:rsid w:val="00C47167"/>
    <w:rsid w:val="00C50FE9"/>
    <w:rsid w:val="00C5194E"/>
    <w:rsid w:val="00C53CF6"/>
    <w:rsid w:val="00C53F55"/>
    <w:rsid w:val="00C55129"/>
    <w:rsid w:val="00C61244"/>
    <w:rsid w:val="00C67707"/>
    <w:rsid w:val="00C70B4B"/>
    <w:rsid w:val="00C724CE"/>
    <w:rsid w:val="00C727A5"/>
    <w:rsid w:val="00C7350F"/>
    <w:rsid w:val="00C737FC"/>
    <w:rsid w:val="00C7392F"/>
    <w:rsid w:val="00C75158"/>
    <w:rsid w:val="00C76946"/>
    <w:rsid w:val="00C77013"/>
    <w:rsid w:val="00C77B39"/>
    <w:rsid w:val="00C80570"/>
    <w:rsid w:val="00C80582"/>
    <w:rsid w:val="00C80FA4"/>
    <w:rsid w:val="00C81A0E"/>
    <w:rsid w:val="00C829C2"/>
    <w:rsid w:val="00C835A0"/>
    <w:rsid w:val="00C83DDC"/>
    <w:rsid w:val="00C85283"/>
    <w:rsid w:val="00C91A99"/>
    <w:rsid w:val="00C93478"/>
    <w:rsid w:val="00C9461C"/>
    <w:rsid w:val="00CA26AE"/>
    <w:rsid w:val="00CA301D"/>
    <w:rsid w:val="00CA3734"/>
    <w:rsid w:val="00CA3D35"/>
    <w:rsid w:val="00CA5B86"/>
    <w:rsid w:val="00CA5E62"/>
    <w:rsid w:val="00CB0313"/>
    <w:rsid w:val="00CB0911"/>
    <w:rsid w:val="00CB0CDF"/>
    <w:rsid w:val="00CB2D73"/>
    <w:rsid w:val="00CB4E9D"/>
    <w:rsid w:val="00CB53B9"/>
    <w:rsid w:val="00CB54F7"/>
    <w:rsid w:val="00CB5A50"/>
    <w:rsid w:val="00CB6C87"/>
    <w:rsid w:val="00CC044A"/>
    <w:rsid w:val="00CC1815"/>
    <w:rsid w:val="00CC2F5B"/>
    <w:rsid w:val="00CC49B7"/>
    <w:rsid w:val="00CC5896"/>
    <w:rsid w:val="00CC702D"/>
    <w:rsid w:val="00CC7396"/>
    <w:rsid w:val="00CC75C6"/>
    <w:rsid w:val="00CC7C98"/>
    <w:rsid w:val="00CD227E"/>
    <w:rsid w:val="00CD26F8"/>
    <w:rsid w:val="00CD4288"/>
    <w:rsid w:val="00CD5EAE"/>
    <w:rsid w:val="00CD7587"/>
    <w:rsid w:val="00CE14BB"/>
    <w:rsid w:val="00CE2755"/>
    <w:rsid w:val="00CE427B"/>
    <w:rsid w:val="00CE4B2D"/>
    <w:rsid w:val="00CE5928"/>
    <w:rsid w:val="00CE660C"/>
    <w:rsid w:val="00CF073C"/>
    <w:rsid w:val="00CF22E0"/>
    <w:rsid w:val="00CF39F6"/>
    <w:rsid w:val="00CF4D6D"/>
    <w:rsid w:val="00CF4E51"/>
    <w:rsid w:val="00CF59DA"/>
    <w:rsid w:val="00CF7886"/>
    <w:rsid w:val="00CF790A"/>
    <w:rsid w:val="00D04380"/>
    <w:rsid w:val="00D05A91"/>
    <w:rsid w:val="00D0602F"/>
    <w:rsid w:val="00D061E1"/>
    <w:rsid w:val="00D061E3"/>
    <w:rsid w:val="00D07282"/>
    <w:rsid w:val="00D07B22"/>
    <w:rsid w:val="00D129FA"/>
    <w:rsid w:val="00D14737"/>
    <w:rsid w:val="00D14BD3"/>
    <w:rsid w:val="00D165C6"/>
    <w:rsid w:val="00D16F3C"/>
    <w:rsid w:val="00D175CD"/>
    <w:rsid w:val="00D20A8E"/>
    <w:rsid w:val="00D2282E"/>
    <w:rsid w:val="00D235C6"/>
    <w:rsid w:val="00D2410B"/>
    <w:rsid w:val="00D246FF"/>
    <w:rsid w:val="00D25252"/>
    <w:rsid w:val="00D253FC"/>
    <w:rsid w:val="00D25AA8"/>
    <w:rsid w:val="00D25AEC"/>
    <w:rsid w:val="00D26351"/>
    <w:rsid w:val="00D27C01"/>
    <w:rsid w:val="00D3067A"/>
    <w:rsid w:val="00D31B6C"/>
    <w:rsid w:val="00D32C9C"/>
    <w:rsid w:val="00D3419F"/>
    <w:rsid w:val="00D35443"/>
    <w:rsid w:val="00D37BB2"/>
    <w:rsid w:val="00D40894"/>
    <w:rsid w:val="00D42B86"/>
    <w:rsid w:val="00D42F14"/>
    <w:rsid w:val="00D44AA1"/>
    <w:rsid w:val="00D452A2"/>
    <w:rsid w:val="00D45362"/>
    <w:rsid w:val="00D454B2"/>
    <w:rsid w:val="00D462A5"/>
    <w:rsid w:val="00D476F9"/>
    <w:rsid w:val="00D517A2"/>
    <w:rsid w:val="00D52643"/>
    <w:rsid w:val="00D564B5"/>
    <w:rsid w:val="00D56621"/>
    <w:rsid w:val="00D60BF2"/>
    <w:rsid w:val="00D66DC2"/>
    <w:rsid w:val="00D67851"/>
    <w:rsid w:val="00D7113A"/>
    <w:rsid w:val="00D714E4"/>
    <w:rsid w:val="00D7184B"/>
    <w:rsid w:val="00D73280"/>
    <w:rsid w:val="00D73717"/>
    <w:rsid w:val="00D7407D"/>
    <w:rsid w:val="00D7519A"/>
    <w:rsid w:val="00D75D83"/>
    <w:rsid w:val="00D83463"/>
    <w:rsid w:val="00D83484"/>
    <w:rsid w:val="00D84426"/>
    <w:rsid w:val="00D853C2"/>
    <w:rsid w:val="00D85F21"/>
    <w:rsid w:val="00D911C3"/>
    <w:rsid w:val="00D923EC"/>
    <w:rsid w:val="00D92F8D"/>
    <w:rsid w:val="00D938AC"/>
    <w:rsid w:val="00D95BB3"/>
    <w:rsid w:val="00D95DDB"/>
    <w:rsid w:val="00DA4B7D"/>
    <w:rsid w:val="00DA4E8F"/>
    <w:rsid w:val="00DA6853"/>
    <w:rsid w:val="00DB1FBA"/>
    <w:rsid w:val="00DB2722"/>
    <w:rsid w:val="00DB57BD"/>
    <w:rsid w:val="00DB6F44"/>
    <w:rsid w:val="00DC0357"/>
    <w:rsid w:val="00DC0393"/>
    <w:rsid w:val="00DC07C6"/>
    <w:rsid w:val="00DC0EAB"/>
    <w:rsid w:val="00DC38A3"/>
    <w:rsid w:val="00DC3940"/>
    <w:rsid w:val="00DC4D0C"/>
    <w:rsid w:val="00DC53B8"/>
    <w:rsid w:val="00DC6F66"/>
    <w:rsid w:val="00DD1093"/>
    <w:rsid w:val="00DD2534"/>
    <w:rsid w:val="00DD2F2F"/>
    <w:rsid w:val="00DD4635"/>
    <w:rsid w:val="00DD50EE"/>
    <w:rsid w:val="00DD5A53"/>
    <w:rsid w:val="00DD6281"/>
    <w:rsid w:val="00DD6499"/>
    <w:rsid w:val="00DD672F"/>
    <w:rsid w:val="00DD6950"/>
    <w:rsid w:val="00DE0B72"/>
    <w:rsid w:val="00DE323E"/>
    <w:rsid w:val="00DE42DE"/>
    <w:rsid w:val="00DE79B6"/>
    <w:rsid w:val="00DE79D6"/>
    <w:rsid w:val="00DF0052"/>
    <w:rsid w:val="00DF006C"/>
    <w:rsid w:val="00DF0E4E"/>
    <w:rsid w:val="00DF2594"/>
    <w:rsid w:val="00DF2646"/>
    <w:rsid w:val="00DF28B2"/>
    <w:rsid w:val="00DF3C82"/>
    <w:rsid w:val="00DF4B3B"/>
    <w:rsid w:val="00DF527D"/>
    <w:rsid w:val="00DF62E2"/>
    <w:rsid w:val="00E01080"/>
    <w:rsid w:val="00E01AAA"/>
    <w:rsid w:val="00E066B1"/>
    <w:rsid w:val="00E06B7D"/>
    <w:rsid w:val="00E07F08"/>
    <w:rsid w:val="00E1074A"/>
    <w:rsid w:val="00E1093F"/>
    <w:rsid w:val="00E129C5"/>
    <w:rsid w:val="00E12AD4"/>
    <w:rsid w:val="00E13A97"/>
    <w:rsid w:val="00E145CD"/>
    <w:rsid w:val="00E15227"/>
    <w:rsid w:val="00E16CE2"/>
    <w:rsid w:val="00E179B8"/>
    <w:rsid w:val="00E23EAF"/>
    <w:rsid w:val="00E24226"/>
    <w:rsid w:val="00E25244"/>
    <w:rsid w:val="00E25397"/>
    <w:rsid w:val="00E27C44"/>
    <w:rsid w:val="00E31DBD"/>
    <w:rsid w:val="00E32068"/>
    <w:rsid w:val="00E32734"/>
    <w:rsid w:val="00E46B79"/>
    <w:rsid w:val="00E46EDF"/>
    <w:rsid w:val="00E47555"/>
    <w:rsid w:val="00E50E58"/>
    <w:rsid w:val="00E52967"/>
    <w:rsid w:val="00E5382E"/>
    <w:rsid w:val="00E53984"/>
    <w:rsid w:val="00E53AA7"/>
    <w:rsid w:val="00E54D2B"/>
    <w:rsid w:val="00E54DC8"/>
    <w:rsid w:val="00E56E31"/>
    <w:rsid w:val="00E60273"/>
    <w:rsid w:val="00E625DD"/>
    <w:rsid w:val="00E62CCC"/>
    <w:rsid w:val="00E62E31"/>
    <w:rsid w:val="00E632AA"/>
    <w:rsid w:val="00E63524"/>
    <w:rsid w:val="00E640DD"/>
    <w:rsid w:val="00E66713"/>
    <w:rsid w:val="00E67174"/>
    <w:rsid w:val="00E70093"/>
    <w:rsid w:val="00E714C0"/>
    <w:rsid w:val="00E7177B"/>
    <w:rsid w:val="00E71F10"/>
    <w:rsid w:val="00E7242A"/>
    <w:rsid w:val="00E73CD5"/>
    <w:rsid w:val="00E746D4"/>
    <w:rsid w:val="00E76D11"/>
    <w:rsid w:val="00E80377"/>
    <w:rsid w:val="00E81A8F"/>
    <w:rsid w:val="00E81DDE"/>
    <w:rsid w:val="00E8217D"/>
    <w:rsid w:val="00E83298"/>
    <w:rsid w:val="00E8362B"/>
    <w:rsid w:val="00E8374A"/>
    <w:rsid w:val="00E85791"/>
    <w:rsid w:val="00E86960"/>
    <w:rsid w:val="00E926CA"/>
    <w:rsid w:val="00E9329C"/>
    <w:rsid w:val="00E94498"/>
    <w:rsid w:val="00E94593"/>
    <w:rsid w:val="00E94A2F"/>
    <w:rsid w:val="00E95055"/>
    <w:rsid w:val="00EA038F"/>
    <w:rsid w:val="00EA09D3"/>
    <w:rsid w:val="00EA2280"/>
    <w:rsid w:val="00EA57FB"/>
    <w:rsid w:val="00EB1081"/>
    <w:rsid w:val="00EB1102"/>
    <w:rsid w:val="00EB2C21"/>
    <w:rsid w:val="00EB2F68"/>
    <w:rsid w:val="00EB3CD4"/>
    <w:rsid w:val="00EB5EAD"/>
    <w:rsid w:val="00EB700D"/>
    <w:rsid w:val="00EB7B11"/>
    <w:rsid w:val="00EC1264"/>
    <w:rsid w:val="00EC2B8D"/>
    <w:rsid w:val="00EC48B3"/>
    <w:rsid w:val="00EC58F2"/>
    <w:rsid w:val="00ED10D9"/>
    <w:rsid w:val="00ED314A"/>
    <w:rsid w:val="00ED4B17"/>
    <w:rsid w:val="00ED568C"/>
    <w:rsid w:val="00ED6B91"/>
    <w:rsid w:val="00ED743D"/>
    <w:rsid w:val="00ED7EFB"/>
    <w:rsid w:val="00EE0176"/>
    <w:rsid w:val="00EE0935"/>
    <w:rsid w:val="00EE2F83"/>
    <w:rsid w:val="00EE33AC"/>
    <w:rsid w:val="00EE3DD5"/>
    <w:rsid w:val="00EE6FB0"/>
    <w:rsid w:val="00EE706E"/>
    <w:rsid w:val="00EE7F1A"/>
    <w:rsid w:val="00EF05A4"/>
    <w:rsid w:val="00EF0D28"/>
    <w:rsid w:val="00EF13B6"/>
    <w:rsid w:val="00EF1415"/>
    <w:rsid w:val="00EF28CB"/>
    <w:rsid w:val="00EF2982"/>
    <w:rsid w:val="00F00B57"/>
    <w:rsid w:val="00F04A09"/>
    <w:rsid w:val="00F04FFD"/>
    <w:rsid w:val="00F058DF"/>
    <w:rsid w:val="00F07151"/>
    <w:rsid w:val="00F10B9E"/>
    <w:rsid w:val="00F11102"/>
    <w:rsid w:val="00F11B89"/>
    <w:rsid w:val="00F11D75"/>
    <w:rsid w:val="00F20018"/>
    <w:rsid w:val="00F201B2"/>
    <w:rsid w:val="00F211EE"/>
    <w:rsid w:val="00F21486"/>
    <w:rsid w:val="00F21DBB"/>
    <w:rsid w:val="00F2279B"/>
    <w:rsid w:val="00F22935"/>
    <w:rsid w:val="00F2308E"/>
    <w:rsid w:val="00F23192"/>
    <w:rsid w:val="00F27629"/>
    <w:rsid w:val="00F31645"/>
    <w:rsid w:val="00F319FA"/>
    <w:rsid w:val="00F31C39"/>
    <w:rsid w:val="00F32FE8"/>
    <w:rsid w:val="00F335F5"/>
    <w:rsid w:val="00F34173"/>
    <w:rsid w:val="00F35B75"/>
    <w:rsid w:val="00F36073"/>
    <w:rsid w:val="00F36AD9"/>
    <w:rsid w:val="00F37C8A"/>
    <w:rsid w:val="00F37D25"/>
    <w:rsid w:val="00F40874"/>
    <w:rsid w:val="00F4165C"/>
    <w:rsid w:val="00F418BE"/>
    <w:rsid w:val="00F41BBA"/>
    <w:rsid w:val="00F41C5E"/>
    <w:rsid w:val="00F427C4"/>
    <w:rsid w:val="00F430FE"/>
    <w:rsid w:val="00F44981"/>
    <w:rsid w:val="00F454EC"/>
    <w:rsid w:val="00F46166"/>
    <w:rsid w:val="00F46E43"/>
    <w:rsid w:val="00F5084C"/>
    <w:rsid w:val="00F52006"/>
    <w:rsid w:val="00F5223A"/>
    <w:rsid w:val="00F53627"/>
    <w:rsid w:val="00F552E9"/>
    <w:rsid w:val="00F562F0"/>
    <w:rsid w:val="00F577C2"/>
    <w:rsid w:val="00F57F57"/>
    <w:rsid w:val="00F601A0"/>
    <w:rsid w:val="00F61190"/>
    <w:rsid w:val="00F61ED3"/>
    <w:rsid w:val="00F623E2"/>
    <w:rsid w:val="00F62A9C"/>
    <w:rsid w:val="00F63113"/>
    <w:rsid w:val="00F634AB"/>
    <w:rsid w:val="00F72549"/>
    <w:rsid w:val="00F72DA4"/>
    <w:rsid w:val="00F748E1"/>
    <w:rsid w:val="00F75BDF"/>
    <w:rsid w:val="00F76913"/>
    <w:rsid w:val="00F76FFF"/>
    <w:rsid w:val="00F81214"/>
    <w:rsid w:val="00F83699"/>
    <w:rsid w:val="00F839BF"/>
    <w:rsid w:val="00F873A3"/>
    <w:rsid w:val="00F87A86"/>
    <w:rsid w:val="00F94299"/>
    <w:rsid w:val="00F950E7"/>
    <w:rsid w:val="00F96B59"/>
    <w:rsid w:val="00FA0BA3"/>
    <w:rsid w:val="00FA386F"/>
    <w:rsid w:val="00FA3894"/>
    <w:rsid w:val="00FA3DEC"/>
    <w:rsid w:val="00FA3FEF"/>
    <w:rsid w:val="00FA485F"/>
    <w:rsid w:val="00FA5EE1"/>
    <w:rsid w:val="00FA6673"/>
    <w:rsid w:val="00FA6972"/>
    <w:rsid w:val="00FA788B"/>
    <w:rsid w:val="00FB027C"/>
    <w:rsid w:val="00FB0360"/>
    <w:rsid w:val="00FB13A8"/>
    <w:rsid w:val="00FB23AE"/>
    <w:rsid w:val="00FB2FA8"/>
    <w:rsid w:val="00FB5D2F"/>
    <w:rsid w:val="00FB7176"/>
    <w:rsid w:val="00FB7207"/>
    <w:rsid w:val="00FB775C"/>
    <w:rsid w:val="00FC16FD"/>
    <w:rsid w:val="00FC5EAF"/>
    <w:rsid w:val="00FC6716"/>
    <w:rsid w:val="00FC7350"/>
    <w:rsid w:val="00FD093C"/>
    <w:rsid w:val="00FD0A64"/>
    <w:rsid w:val="00FD29E5"/>
    <w:rsid w:val="00FD7525"/>
    <w:rsid w:val="00FE35F7"/>
    <w:rsid w:val="00FE3C5C"/>
    <w:rsid w:val="00FE414B"/>
    <w:rsid w:val="00FF00F7"/>
    <w:rsid w:val="00FF1774"/>
    <w:rsid w:val="00FF241E"/>
    <w:rsid w:val="00FF4EE5"/>
    <w:rsid w:val="00FF6C38"/>
    <w:rsid w:val="00FF7223"/>
    <w:rsid w:val="00FF793B"/>
    <w:rsid w:val="00FF7A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33AE7"/>
  <w15:chartTrackingRefBased/>
  <w15:docId w15:val="{BDCD028F-DEA5-4F53-BF17-BA7526174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38AC"/>
  </w:style>
  <w:style w:type="paragraph" w:styleId="berschrift1">
    <w:name w:val="heading 1"/>
    <w:basedOn w:val="Standard"/>
    <w:next w:val="Standard"/>
    <w:link w:val="berschrift1Zchn"/>
    <w:uiPriority w:val="9"/>
    <w:qFormat/>
    <w:rsid w:val="00A415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341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3576FC"/>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thor-a-irz85zz75zl273u8z80z86qqz65z">
    <w:name w:val="author-a-irz85zz75zl273u8z80z86qqz65z"/>
    <w:basedOn w:val="Absatz-Standardschriftart"/>
    <w:rsid w:val="00D938AC"/>
  </w:style>
  <w:style w:type="character" w:styleId="Kommentarzeichen">
    <w:name w:val="annotation reference"/>
    <w:basedOn w:val="Absatz-Standardschriftart"/>
    <w:uiPriority w:val="99"/>
    <w:semiHidden/>
    <w:unhideWhenUsed/>
    <w:rsid w:val="00B6648E"/>
    <w:rPr>
      <w:sz w:val="18"/>
      <w:szCs w:val="18"/>
    </w:rPr>
  </w:style>
  <w:style w:type="paragraph" w:styleId="Kommentartext">
    <w:name w:val="annotation text"/>
    <w:basedOn w:val="Standard"/>
    <w:link w:val="KommentartextZchn"/>
    <w:uiPriority w:val="99"/>
    <w:unhideWhenUsed/>
    <w:rsid w:val="00B6648E"/>
    <w:pPr>
      <w:spacing w:after="0" w:line="240" w:lineRule="auto"/>
    </w:pPr>
    <w:rPr>
      <w:rFonts w:eastAsiaTheme="minorEastAsia"/>
      <w:sz w:val="24"/>
      <w:szCs w:val="24"/>
      <w:lang w:val="en-US"/>
    </w:rPr>
  </w:style>
  <w:style w:type="character" w:customStyle="1" w:styleId="KommentartextZchn">
    <w:name w:val="Kommentartext Zchn"/>
    <w:basedOn w:val="Absatz-Standardschriftart"/>
    <w:link w:val="Kommentartext"/>
    <w:uiPriority w:val="99"/>
    <w:rsid w:val="00B6648E"/>
    <w:rPr>
      <w:rFonts w:eastAsiaTheme="minorEastAsia"/>
      <w:sz w:val="24"/>
      <w:szCs w:val="24"/>
      <w:lang w:val="en-US"/>
    </w:rPr>
  </w:style>
  <w:style w:type="character" w:customStyle="1" w:styleId="normaltextrun1">
    <w:name w:val="normaltextrun1"/>
    <w:basedOn w:val="Absatz-Standardschriftart"/>
    <w:rsid w:val="00B6648E"/>
  </w:style>
  <w:style w:type="paragraph" w:customStyle="1" w:styleId="paragraph">
    <w:name w:val="paragraph"/>
    <w:basedOn w:val="Standard"/>
    <w:rsid w:val="00B6648E"/>
    <w:pPr>
      <w:suppressAutoHyphens/>
      <w:spacing w:after="0" w:line="240" w:lineRule="auto"/>
    </w:pPr>
    <w:rPr>
      <w:rFonts w:ascii="Times New Roman" w:eastAsia="Times New Roman" w:hAnsi="Times New Roman" w:cs="Times New Roman"/>
      <w:sz w:val="24"/>
      <w:szCs w:val="24"/>
      <w:lang w:val="en-US" w:eastAsia="ja-JP"/>
    </w:rPr>
  </w:style>
  <w:style w:type="character" w:styleId="Hyperlink">
    <w:name w:val="Hyperlink"/>
    <w:basedOn w:val="Absatz-Standardschriftart"/>
    <w:uiPriority w:val="99"/>
    <w:unhideWhenUsed/>
    <w:rsid w:val="00B6648E"/>
    <w:rPr>
      <w:color w:val="0000FF"/>
      <w:u w:val="single"/>
    </w:rPr>
  </w:style>
  <w:style w:type="paragraph" w:styleId="Sprechblasentext">
    <w:name w:val="Balloon Text"/>
    <w:basedOn w:val="Standard"/>
    <w:link w:val="SprechblasentextZchn"/>
    <w:uiPriority w:val="99"/>
    <w:semiHidden/>
    <w:unhideWhenUsed/>
    <w:rsid w:val="00B6648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6648E"/>
    <w:rPr>
      <w:rFonts w:ascii="Segoe UI" w:hAnsi="Segoe UI" w:cs="Segoe UI"/>
      <w:sz w:val="18"/>
      <w:szCs w:val="18"/>
    </w:rPr>
  </w:style>
  <w:style w:type="paragraph" w:styleId="Listenabsatz">
    <w:name w:val="List Paragraph"/>
    <w:basedOn w:val="Standard"/>
    <w:uiPriority w:val="34"/>
    <w:qFormat/>
    <w:rsid w:val="00921628"/>
    <w:pPr>
      <w:spacing w:after="200" w:line="276" w:lineRule="auto"/>
      <w:ind w:left="720"/>
      <w:contextualSpacing/>
    </w:pPr>
  </w:style>
  <w:style w:type="table" w:styleId="Tabellenraster">
    <w:name w:val="Table Grid"/>
    <w:basedOn w:val="NormaleTabelle"/>
    <w:uiPriority w:val="59"/>
    <w:rsid w:val="00433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43398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A415BB"/>
    <w:rPr>
      <w:rFonts w:asciiTheme="majorHAnsi" w:eastAsiaTheme="majorEastAsia" w:hAnsiTheme="majorHAnsi" w:cstheme="majorBidi"/>
      <w:color w:val="2F5496" w:themeColor="accent1" w:themeShade="BF"/>
      <w:sz w:val="32"/>
      <w:szCs w:val="32"/>
    </w:rPr>
  </w:style>
  <w:style w:type="paragraph" w:styleId="Titel">
    <w:name w:val="Title"/>
    <w:basedOn w:val="Standard"/>
    <w:next w:val="Standard"/>
    <w:link w:val="TitelZchn"/>
    <w:uiPriority w:val="10"/>
    <w:qFormat/>
    <w:rsid w:val="00A341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341FB"/>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A341FB"/>
    <w:rPr>
      <w:rFonts w:asciiTheme="majorHAnsi" w:eastAsiaTheme="majorEastAsia" w:hAnsiTheme="majorHAnsi" w:cstheme="majorBidi"/>
      <w:color w:val="2F5496" w:themeColor="accent1" w:themeShade="BF"/>
      <w:sz w:val="26"/>
      <w:szCs w:val="26"/>
    </w:rPr>
  </w:style>
  <w:style w:type="paragraph" w:styleId="Kommentarthema">
    <w:name w:val="annotation subject"/>
    <w:basedOn w:val="Kommentartext"/>
    <w:next w:val="Kommentartext"/>
    <w:link w:val="KommentarthemaZchn"/>
    <w:uiPriority w:val="99"/>
    <w:semiHidden/>
    <w:unhideWhenUsed/>
    <w:rsid w:val="008563A9"/>
    <w:pPr>
      <w:spacing w:after="160"/>
    </w:pPr>
    <w:rPr>
      <w:rFonts w:eastAsiaTheme="minorHAnsi"/>
      <w:b/>
      <w:bCs/>
      <w:sz w:val="20"/>
      <w:szCs w:val="20"/>
      <w:lang w:val="de-DE"/>
    </w:rPr>
  </w:style>
  <w:style w:type="character" w:customStyle="1" w:styleId="KommentarthemaZchn">
    <w:name w:val="Kommentarthema Zchn"/>
    <w:basedOn w:val="KommentartextZchn"/>
    <w:link w:val="Kommentarthema"/>
    <w:uiPriority w:val="99"/>
    <w:semiHidden/>
    <w:rsid w:val="008563A9"/>
    <w:rPr>
      <w:rFonts w:eastAsiaTheme="minorEastAsia"/>
      <w:b/>
      <w:bCs/>
      <w:sz w:val="20"/>
      <w:szCs w:val="20"/>
      <w:lang w:val="en-US"/>
    </w:rPr>
  </w:style>
  <w:style w:type="paragraph" w:styleId="Kopfzeile">
    <w:name w:val="header"/>
    <w:basedOn w:val="Standard"/>
    <w:link w:val="KopfzeileZchn"/>
    <w:uiPriority w:val="99"/>
    <w:unhideWhenUsed/>
    <w:rsid w:val="00A802A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02AB"/>
  </w:style>
  <w:style w:type="paragraph" w:styleId="Fuzeile">
    <w:name w:val="footer"/>
    <w:basedOn w:val="Standard"/>
    <w:link w:val="FuzeileZchn"/>
    <w:uiPriority w:val="99"/>
    <w:unhideWhenUsed/>
    <w:rsid w:val="00A802A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02AB"/>
  </w:style>
  <w:style w:type="character" w:customStyle="1" w:styleId="berschrift3Zchn">
    <w:name w:val="Überschrift 3 Zchn"/>
    <w:basedOn w:val="Absatz-Standardschriftart"/>
    <w:link w:val="berschrift3"/>
    <w:uiPriority w:val="9"/>
    <w:rsid w:val="003576FC"/>
    <w:rPr>
      <w:rFonts w:ascii="Times New Roman" w:eastAsia="Times New Roman" w:hAnsi="Times New Roman" w:cs="Times New Roman"/>
      <w:b/>
      <w:bCs/>
      <w:sz w:val="27"/>
      <w:szCs w:val="27"/>
      <w:lang w:eastAsia="de-DE"/>
    </w:rPr>
  </w:style>
  <w:style w:type="character" w:styleId="BesuchterLink">
    <w:name w:val="FollowedHyperlink"/>
    <w:basedOn w:val="Absatz-Standardschriftart"/>
    <w:uiPriority w:val="99"/>
    <w:semiHidden/>
    <w:unhideWhenUsed/>
    <w:rsid w:val="00C442CD"/>
    <w:rPr>
      <w:color w:val="954F72" w:themeColor="followedHyperlink"/>
      <w:u w:val="single"/>
    </w:rPr>
  </w:style>
  <w:style w:type="character" w:styleId="Zeilennummer">
    <w:name w:val="line number"/>
    <w:basedOn w:val="Absatz-Standardschriftart"/>
    <w:uiPriority w:val="99"/>
    <w:semiHidden/>
    <w:unhideWhenUsed/>
    <w:rsid w:val="00CB0313"/>
  </w:style>
  <w:style w:type="paragraph" w:styleId="KeinLeerraum">
    <w:name w:val="No Spacing"/>
    <w:uiPriority w:val="1"/>
    <w:qFormat/>
    <w:rsid w:val="009D7B43"/>
    <w:pPr>
      <w:spacing w:after="0" w:line="240" w:lineRule="auto"/>
    </w:pPr>
  </w:style>
  <w:style w:type="paragraph" w:styleId="Aufzhlungszeichen">
    <w:name w:val="List Bullet"/>
    <w:basedOn w:val="Standard"/>
    <w:uiPriority w:val="99"/>
    <w:unhideWhenUsed/>
    <w:rsid w:val="009E7BCD"/>
    <w:pPr>
      <w:numPr>
        <w:numId w:val="5"/>
      </w:numPr>
      <w:contextualSpacing/>
    </w:pPr>
  </w:style>
  <w:style w:type="paragraph" w:styleId="berarbeitung">
    <w:name w:val="Revision"/>
    <w:hidden/>
    <w:uiPriority w:val="99"/>
    <w:semiHidden/>
    <w:rsid w:val="00C30792"/>
    <w:pPr>
      <w:spacing w:after="0" w:line="240" w:lineRule="auto"/>
    </w:pPr>
  </w:style>
  <w:style w:type="paragraph" w:styleId="Inhaltsverzeichnisberschrift">
    <w:name w:val="TOC Heading"/>
    <w:basedOn w:val="berschrift1"/>
    <w:next w:val="Standard"/>
    <w:uiPriority w:val="39"/>
    <w:unhideWhenUsed/>
    <w:qFormat/>
    <w:rsid w:val="00AE654E"/>
    <w:pPr>
      <w:outlineLvl w:val="9"/>
    </w:pPr>
    <w:rPr>
      <w:lang w:eastAsia="de-DE"/>
    </w:rPr>
  </w:style>
  <w:style w:type="paragraph" w:styleId="Verzeichnis1">
    <w:name w:val="toc 1"/>
    <w:basedOn w:val="Standard"/>
    <w:next w:val="Standard"/>
    <w:autoRedefine/>
    <w:uiPriority w:val="39"/>
    <w:unhideWhenUsed/>
    <w:rsid w:val="00AE654E"/>
    <w:pPr>
      <w:tabs>
        <w:tab w:val="right" w:leader="dot" w:pos="9062"/>
      </w:tabs>
      <w:spacing w:after="100"/>
    </w:pPr>
  </w:style>
  <w:style w:type="paragraph" w:styleId="Verzeichnis2">
    <w:name w:val="toc 2"/>
    <w:basedOn w:val="Standard"/>
    <w:next w:val="Standard"/>
    <w:autoRedefine/>
    <w:uiPriority w:val="39"/>
    <w:unhideWhenUsed/>
    <w:rsid w:val="00AE654E"/>
    <w:pPr>
      <w:tabs>
        <w:tab w:val="right" w:leader="dot" w:pos="9062"/>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9976">
      <w:bodyDiv w:val="1"/>
      <w:marLeft w:val="0"/>
      <w:marRight w:val="0"/>
      <w:marTop w:val="0"/>
      <w:marBottom w:val="0"/>
      <w:divBdr>
        <w:top w:val="none" w:sz="0" w:space="0" w:color="auto"/>
        <w:left w:val="none" w:sz="0" w:space="0" w:color="auto"/>
        <w:bottom w:val="none" w:sz="0" w:space="0" w:color="auto"/>
        <w:right w:val="none" w:sz="0" w:space="0" w:color="auto"/>
      </w:divBdr>
    </w:div>
    <w:div w:id="138621997">
      <w:bodyDiv w:val="1"/>
      <w:marLeft w:val="0"/>
      <w:marRight w:val="0"/>
      <w:marTop w:val="0"/>
      <w:marBottom w:val="0"/>
      <w:divBdr>
        <w:top w:val="none" w:sz="0" w:space="0" w:color="auto"/>
        <w:left w:val="none" w:sz="0" w:space="0" w:color="auto"/>
        <w:bottom w:val="none" w:sz="0" w:space="0" w:color="auto"/>
        <w:right w:val="none" w:sz="0" w:space="0" w:color="auto"/>
      </w:divBdr>
      <w:divsChild>
        <w:div w:id="1804495719">
          <w:marLeft w:val="547"/>
          <w:marRight w:val="0"/>
          <w:marTop w:val="0"/>
          <w:marBottom w:val="0"/>
          <w:divBdr>
            <w:top w:val="none" w:sz="0" w:space="0" w:color="auto"/>
            <w:left w:val="none" w:sz="0" w:space="0" w:color="auto"/>
            <w:bottom w:val="none" w:sz="0" w:space="0" w:color="auto"/>
            <w:right w:val="none" w:sz="0" w:space="0" w:color="auto"/>
          </w:divBdr>
        </w:div>
      </w:divsChild>
    </w:div>
    <w:div w:id="156306324">
      <w:bodyDiv w:val="1"/>
      <w:marLeft w:val="0"/>
      <w:marRight w:val="0"/>
      <w:marTop w:val="0"/>
      <w:marBottom w:val="0"/>
      <w:divBdr>
        <w:top w:val="none" w:sz="0" w:space="0" w:color="auto"/>
        <w:left w:val="none" w:sz="0" w:space="0" w:color="auto"/>
        <w:bottom w:val="none" w:sz="0" w:space="0" w:color="auto"/>
        <w:right w:val="none" w:sz="0" w:space="0" w:color="auto"/>
      </w:divBdr>
    </w:div>
    <w:div w:id="212348412">
      <w:bodyDiv w:val="1"/>
      <w:marLeft w:val="0"/>
      <w:marRight w:val="0"/>
      <w:marTop w:val="0"/>
      <w:marBottom w:val="0"/>
      <w:divBdr>
        <w:top w:val="none" w:sz="0" w:space="0" w:color="auto"/>
        <w:left w:val="none" w:sz="0" w:space="0" w:color="auto"/>
        <w:bottom w:val="none" w:sz="0" w:space="0" w:color="auto"/>
        <w:right w:val="none" w:sz="0" w:space="0" w:color="auto"/>
      </w:divBdr>
    </w:div>
    <w:div w:id="430125450">
      <w:bodyDiv w:val="1"/>
      <w:marLeft w:val="0"/>
      <w:marRight w:val="0"/>
      <w:marTop w:val="0"/>
      <w:marBottom w:val="0"/>
      <w:divBdr>
        <w:top w:val="none" w:sz="0" w:space="0" w:color="auto"/>
        <w:left w:val="none" w:sz="0" w:space="0" w:color="auto"/>
        <w:bottom w:val="none" w:sz="0" w:space="0" w:color="auto"/>
        <w:right w:val="none" w:sz="0" w:space="0" w:color="auto"/>
      </w:divBdr>
      <w:divsChild>
        <w:div w:id="267854364">
          <w:marLeft w:val="547"/>
          <w:marRight w:val="0"/>
          <w:marTop w:val="0"/>
          <w:marBottom w:val="0"/>
          <w:divBdr>
            <w:top w:val="none" w:sz="0" w:space="0" w:color="auto"/>
            <w:left w:val="none" w:sz="0" w:space="0" w:color="auto"/>
            <w:bottom w:val="none" w:sz="0" w:space="0" w:color="auto"/>
            <w:right w:val="none" w:sz="0" w:space="0" w:color="auto"/>
          </w:divBdr>
        </w:div>
      </w:divsChild>
    </w:div>
    <w:div w:id="445349657">
      <w:bodyDiv w:val="1"/>
      <w:marLeft w:val="0"/>
      <w:marRight w:val="0"/>
      <w:marTop w:val="0"/>
      <w:marBottom w:val="0"/>
      <w:divBdr>
        <w:top w:val="none" w:sz="0" w:space="0" w:color="auto"/>
        <w:left w:val="none" w:sz="0" w:space="0" w:color="auto"/>
        <w:bottom w:val="none" w:sz="0" w:space="0" w:color="auto"/>
        <w:right w:val="none" w:sz="0" w:space="0" w:color="auto"/>
      </w:divBdr>
    </w:div>
    <w:div w:id="603928375">
      <w:bodyDiv w:val="1"/>
      <w:marLeft w:val="0"/>
      <w:marRight w:val="0"/>
      <w:marTop w:val="0"/>
      <w:marBottom w:val="0"/>
      <w:divBdr>
        <w:top w:val="none" w:sz="0" w:space="0" w:color="auto"/>
        <w:left w:val="none" w:sz="0" w:space="0" w:color="auto"/>
        <w:bottom w:val="none" w:sz="0" w:space="0" w:color="auto"/>
        <w:right w:val="none" w:sz="0" w:space="0" w:color="auto"/>
      </w:divBdr>
      <w:divsChild>
        <w:div w:id="1961453703">
          <w:marLeft w:val="547"/>
          <w:marRight w:val="0"/>
          <w:marTop w:val="0"/>
          <w:marBottom w:val="0"/>
          <w:divBdr>
            <w:top w:val="none" w:sz="0" w:space="0" w:color="auto"/>
            <w:left w:val="none" w:sz="0" w:space="0" w:color="auto"/>
            <w:bottom w:val="none" w:sz="0" w:space="0" w:color="auto"/>
            <w:right w:val="none" w:sz="0" w:space="0" w:color="auto"/>
          </w:divBdr>
        </w:div>
      </w:divsChild>
    </w:div>
    <w:div w:id="649015487">
      <w:bodyDiv w:val="1"/>
      <w:marLeft w:val="0"/>
      <w:marRight w:val="0"/>
      <w:marTop w:val="0"/>
      <w:marBottom w:val="0"/>
      <w:divBdr>
        <w:top w:val="none" w:sz="0" w:space="0" w:color="auto"/>
        <w:left w:val="none" w:sz="0" w:space="0" w:color="auto"/>
        <w:bottom w:val="none" w:sz="0" w:space="0" w:color="auto"/>
        <w:right w:val="none" w:sz="0" w:space="0" w:color="auto"/>
      </w:divBdr>
      <w:divsChild>
        <w:div w:id="1769038826">
          <w:marLeft w:val="0"/>
          <w:marRight w:val="1500"/>
          <w:marTop w:val="0"/>
          <w:marBottom w:val="0"/>
          <w:divBdr>
            <w:top w:val="none" w:sz="0" w:space="0" w:color="auto"/>
            <w:left w:val="none" w:sz="0" w:space="0" w:color="auto"/>
            <w:bottom w:val="none" w:sz="0" w:space="0" w:color="auto"/>
            <w:right w:val="none" w:sz="0" w:space="0" w:color="auto"/>
          </w:divBdr>
        </w:div>
      </w:divsChild>
    </w:div>
    <w:div w:id="1374575963">
      <w:bodyDiv w:val="1"/>
      <w:marLeft w:val="0"/>
      <w:marRight w:val="0"/>
      <w:marTop w:val="0"/>
      <w:marBottom w:val="0"/>
      <w:divBdr>
        <w:top w:val="none" w:sz="0" w:space="0" w:color="auto"/>
        <w:left w:val="none" w:sz="0" w:space="0" w:color="auto"/>
        <w:bottom w:val="none" w:sz="0" w:space="0" w:color="auto"/>
        <w:right w:val="none" w:sz="0" w:space="0" w:color="auto"/>
      </w:divBdr>
    </w:div>
    <w:div w:id="1809585239">
      <w:bodyDiv w:val="1"/>
      <w:marLeft w:val="0"/>
      <w:marRight w:val="0"/>
      <w:marTop w:val="0"/>
      <w:marBottom w:val="0"/>
      <w:divBdr>
        <w:top w:val="none" w:sz="0" w:space="0" w:color="auto"/>
        <w:left w:val="none" w:sz="0" w:space="0" w:color="auto"/>
        <w:bottom w:val="none" w:sz="0" w:space="0" w:color="auto"/>
        <w:right w:val="none" w:sz="0" w:space="0" w:color="auto"/>
      </w:divBdr>
      <w:divsChild>
        <w:div w:id="15817174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1.xml"/><Relationship Id="rId26" Type="http://schemas.openxmlformats.org/officeDocument/2006/relationships/image" Target="media/image13.emf"/><Relationship Id="rId39" Type="http://schemas.openxmlformats.org/officeDocument/2006/relationships/header" Target="header6.xml"/><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image" Target="media/image12.emf"/><Relationship Id="rId33" Type="http://schemas.openxmlformats.org/officeDocument/2006/relationships/image" Target="media/image18.emf"/><Relationship Id="rId38"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6D7A4-17FB-4D92-AA47-0358B8E98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77343</Words>
  <Characters>487267</Characters>
  <Application>Microsoft Office Word</Application>
  <DocSecurity>0</DocSecurity>
  <Lines>4060</Lines>
  <Paragraphs>1126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swany</dc:creator>
  <cp:keywords/>
  <dc:description/>
  <cp:lastModifiedBy>Heitzer, Iris</cp:lastModifiedBy>
  <cp:revision>2</cp:revision>
  <cp:lastPrinted>2023-04-14T08:34:00Z</cp:lastPrinted>
  <dcterms:created xsi:type="dcterms:W3CDTF">2023-04-17T06:53:00Z</dcterms:created>
  <dcterms:modified xsi:type="dcterms:W3CDTF">2023-04-17T06:53:00Z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b22ea71e-0cf1-3cc3-8d9a-d3d0ea4f0ed8</vt:lpwstr>
  </property>
  <property fmtid="{D5CDD505-2E9C-101B-9397-08002B2CF9AE}" pid="24" name="Mendeley Citation Style_1">
    <vt:lpwstr>http://www.zotero.org/styles/apa</vt:lpwstr>
  </property>
</Properties>
</file>